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584F" w14:textId="77777777" w:rsidR="00FB2A4D" w:rsidRDefault="005E592B">
      <w:r>
        <w:rPr>
          <w:b/>
          <w:noProof/>
          <w:color w:val="FF0000"/>
          <w:sz w:val="48"/>
          <w:szCs w:val="32"/>
        </w:rPr>
        <w:drawing>
          <wp:inline distT="0" distB="0" distL="0" distR="0" wp14:anchorId="3376D519" wp14:editId="70D9E397">
            <wp:extent cx="5943600" cy="15379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5943600" cy="1537970"/>
                    </a:xfrm>
                    <a:prstGeom prst="rect">
                      <a:avLst/>
                    </a:prstGeom>
                  </pic:spPr>
                </pic:pic>
              </a:graphicData>
            </a:graphic>
          </wp:inline>
        </w:drawing>
      </w:r>
    </w:p>
    <w:p w14:paraId="741EB546" w14:textId="77777777" w:rsidR="005E592B" w:rsidRDefault="005E592B"/>
    <w:p w14:paraId="591D31D1" w14:textId="77777777" w:rsidR="005E592B" w:rsidRDefault="005E592B" w:rsidP="005E592B">
      <w:pPr>
        <w:jc w:val="center"/>
        <w:rPr>
          <w:b/>
          <w:sz w:val="48"/>
          <w:szCs w:val="32"/>
        </w:rPr>
      </w:pPr>
    </w:p>
    <w:p w14:paraId="500D14A3" w14:textId="77777777" w:rsidR="005E592B" w:rsidRDefault="005E592B" w:rsidP="005E592B">
      <w:pPr>
        <w:jc w:val="center"/>
        <w:rPr>
          <w:b/>
          <w:sz w:val="48"/>
          <w:szCs w:val="32"/>
        </w:rPr>
      </w:pPr>
    </w:p>
    <w:p w14:paraId="20DD98C5" w14:textId="77777777" w:rsidR="005E592B" w:rsidRDefault="005E592B" w:rsidP="005E592B">
      <w:pPr>
        <w:jc w:val="center"/>
        <w:rPr>
          <w:b/>
          <w:sz w:val="48"/>
          <w:szCs w:val="32"/>
        </w:rPr>
      </w:pPr>
    </w:p>
    <w:p w14:paraId="703A7217" w14:textId="77777777" w:rsidR="005E592B" w:rsidRPr="0080597D" w:rsidRDefault="005E592B" w:rsidP="005E592B">
      <w:pPr>
        <w:jc w:val="center"/>
        <w:rPr>
          <w:b/>
          <w:sz w:val="52"/>
          <w:szCs w:val="52"/>
        </w:rPr>
      </w:pPr>
      <w:r w:rsidRPr="0080597D">
        <w:rPr>
          <w:b/>
          <w:sz w:val="52"/>
          <w:szCs w:val="52"/>
        </w:rPr>
        <w:t>STATEMENT OF WORK (SOW)</w:t>
      </w:r>
    </w:p>
    <w:p w14:paraId="0D37C2DC" w14:textId="1EFB7EF6" w:rsidR="005E592B" w:rsidRPr="0080597D" w:rsidRDefault="00617290" w:rsidP="005E592B">
      <w:pPr>
        <w:jc w:val="center"/>
        <w:rPr>
          <w:b/>
          <w:bCs/>
          <w:sz w:val="52"/>
          <w:szCs w:val="52"/>
        </w:rPr>
      </w:pPr>
      <w:r>
        <w:rPr>
          <w:b/>
          <w:bCs/>
          <w:sz w:val="52"/>
          <w:szCs w:val="52"/>
        </w:rPr>
        <w:t>Janitorial Products and Service</w:t>
      </w:r>
      <w:r w:rsidR="00572B72">
        <w:rPr>
          <w:b/>
          <w:bCs/>
          <w:sz w:val="52"/>
          <w:szCs w:val="52"/>
        </w:rPr>
        <w:br/>
      </w:r>
      <w:r w:rsidR="00572B72" w:rsidRPr="00572B72">
        <w:rPr>
          <w:b/>
          <w:bCs/>
          <w:sz w:val="48"/>
          <w:szCs w:val="48"/>
        </w:rPr>
        <w:t xml:space="preserve">BID # </w:t>
      </w:r>
      <w:r w:rsidR="00B55E3F">
        <w:rPr>
          <w:b/>
          <w:bCs/>
          <w:sz w:val="48"/>
          <w:szCs w:val="48"/>
        </w:rPr>
        <w:t>164583</w:t>
      </w:r>
    </w:p>
    <w:p w14:paraId="2F3B37FB" w14:textId="77777777" w:rsidR="005E592B" w:rsidRDefault="005E592B"/>
    <w:p w14:paraId="0DDF6BA8" w14:textId="77777777" w:rsidR="00FB2A4D" w:rsidRDefault="00FB2A4D">
      <w:r>
        <w:br w:type="page"/>
      </w:r>
    </w:p>
    <w:p w14:paraId="4F31CCD8" w14:textId="77777777" w:rsidR="00FB2A4D" w:rsidRDefault="00FB2A4D">
      <w:pPr>
        <w:rPr>
          <w:rFonts w:asciiTheme="majorHAnsi" w:eastAsiaTheme="majorEastAsia" w:hAnsiTheme="majorHAnsi" w:cstheme="majorBidi"/>
          <w:b/>
          <w:bCs/>
          <w:kern w:val="0"/>
          <w:sz w:val="32"/>
          <w:szCs w:val="32"/>
          <w14:ligatures w14:val="none"/>
        </w:rPr>
      </w:pPr>
    </w:p>
    <w:p w14:paraId="448C58E1" w14:textId="77777777" w:rsidR="0080597D" w:rsidRDefault="0080597D">
      <w:pPr>
        <w:rPr>
          <w:rFonts w:asciiTheme="majorHAnsi" w:eastAsiaTheme="majorEastAsia" w:hAnsiTheme="majorHAnsi" w:cstheme="majorBidi"/>
          <w:b/>
          <w:bCs/>
          <w:kern w:val="0"/>
          <w:sz w:val="32"/>
          <w:szCs w:val="32"/>
          <w14:ligatures w14:val="none"/>
        </w:rPr>
      </w:pPr>
    </w:p>
    <w:p w14:paraId="573A847B" w14:textId="77777777" w:rsidR="0080597D" w:rsidRDefault="0080597D">
      <w:pPr>
        <w:rPr>
          <w:rFonts w:asciiTheme="majorHAnsi" w:eastAsiaTheme="majorEastAsia" w:hAnsiTheme="majorHAnsi" w:cstheme="majorBidi"/>
          <w:b/>
          <w:bCs/>
          <w:kern w:val="0"/>
          <w:sz w:val="32"/>
          <w:szCs w:val="32"/>
          <w14:ligatures w14:val="none"/>
        </w:rPr>
      </w:pPr>
    </w:p>
    <w:sdt>
      <w:sdtPr>
        <w:rPr>
          <w:rFonts w:asciiTheme="minorHAnsi" w:eastAsiaTheme="minorHAnsi" w:hAnsiTheme="minorHAnsi" w:cstheme="minorBidi"/>
          <w:b w:val="0"/>
          <w:kern w:val="2"/>
          <w:sz w:val="22"/>
          <w:szCs w:val="22"/>
          <w14:ligatures w14:val="standardContextual"/>
        </w:rPr>
        <w:id w:val="-447242875"/>
        <w:docPartObj>
          <w:docPartGallery w:val="Table of Contents"/>
          <w:docPartUnique/>
        </w:docPartObj>
      </w:sdtPr>
      <w:sdtEndPr>
        <w:rPr>
          <w:rFonts w:ascii="Times New Roman" w:hAnsi="Times New Roman" w:cs="Times New Roman"/>
          <w:bCs/>
          <w:noProof/>
          <w:sz w:val="24"/>
          <w:szCs w:val="24"/>
        </w:rPr>
      </w:sdtEndPr>
      <w:sdtContent>
        <w:p w14:paraId="7AF94D3A" w14:textId="77777777" w:rsidR="0080597D" w:rsidRPr="00A51399" w:rsidRDefault="0080597D">
          <w:pPr>
            <w:pStyle w:val="TOCHeading"/>
            <w:rPr>
              <w:rFonts w:cs="Times New Roman"/>
              <w:b w:val="0"/>
              <w:bCs/>
              <w:szCs w:val="24"/>
            </w:rPr>
          </w:pPr>
          <w:r w:rsidRPr="00A51399">
            <w:rPr>
              <w:rFonts w:cs="Times New Roman"/>
              <w:bCs/>
              <w:szCs w:val="24"/>
            </w:rPr>
            <w:t>Table of Contents</w:t>
          </w:r>
        </w:p>
        <w:p w14:paraId="4914B583" w14:textId="044283E6" w:rsidR="00A14822" w:rsidRDefault="0080597D">
          <w:pPr>
            <w:pStyle w:val="TOC3"/>
            <w:tabs>
              <w:tab w:val="right" w:leader="dot" w:pos="9350"/>
            </w:tabs>
            <w:rPr>
              <w:rFonts w:eastAsiaTheme="minorEastAsia"/>
              <w:noProof/>
            </w:rPr>
          </w:pPr>
          <w:r w:rsidRPr="00A51399">
            <w:rPr>
              <w:rFonts w:ascii="Times New Roman" w:hAnsi="Times New Roman" w:cs="Times New Roman"/>
              <w:sz w:val="24"/>
              <w:szCs w:val="24"/>
            </w:rPr>
            <w:fldChar w:fldCharType="begin"/>
          </w:r>
          <w:r w:rsidRPr="00A51399">
            <w:rPr>
              <w:rFonts w:ascii="Times New Roman" w:hAnsi="Times New Roman" w:cs="Times New Roman"/>
              <w:sz w:val="24"/>
              <w:szCs w:val="24"/>
            </w:rPr>
            <w:instrText xml:space="preserve"> TOC \o "1-3" \h \z \u </w:instrText>
          </w:r>
          <w:r w:rsidRPr="00A51399">
            <w:rPr>
              <w:rFonts w:ascii="Times New Roman" w:hAnsi="Times New Roman" w:cs="Times New Roman"/>
              <w:sz w:val="24"/>
              <w:szCs w:val="24"/>
            </w:rPr>
            <w:fldChar w:fldCharType="separate"/>
          </w:r>
          <w:hyperlink w:anchor="_Toc172702362" w:history="1">
            <w:r w:rsidR="00A14822" w:rsidRPr="0059612F">
              <w:rPr>
                <w:rStyle w:val="Hyperlink"/>
                <w:noProof/>
              </w:rPr>
              <w:t>INTRODUCTION</w:t>
            </w:r>
            <w:r w:rsidR="00A14822">
              <w:rPr>
                <w:noProof/>
                <w:webHidden/>
              </w:rPr>
              <w:tab/>
            </w:r>
            <w:r w:rsidR="00C472F7">
              <w:rPr>
                <w:noProof/>
                <w:webHidden/>
              </w:rPr>
              <w:t>3</w:t>
            </w:r>
          </w:hyperlink>
        </w:p>
        <w:p w14:paraId="3A843DC7" w14:textId="29495830" w:rsidR="00A14822" w:rsidRDefault="00A14822">
          <w:pPr>
            <w:pStyle w:val="TOC3"/>
            <w:tabs>
              <w:tab w:val="right" w:leader="dot" w:pos="9350"/>
            </w:tabs>
            <w:rPr>
              <w:rFonts w:eastAsiaTheme="minorEastAsia"/>
              <w:noProof/>
            </w:rPr>
          </w:pPr>
          <w:hyperlink w:anchor="_Toc172702363" w:history="1">
            <w:r w:rsidRPr="0059612F">
              <w:rPr>
                <w:rStyle w:val="Hyperlink"/>
                <w:noProof/>
              </w:rPr>
              <w:t>PURPOSE and OBJECTIVE</w:t>
            </w:r>
            <w:r>
              <w:rPr>
                <w:noProof/>
                <w:webHidden/>
              </w:rPr>
              <w:tab/>
            </w:r>
            <w:r w:rsidR="00C472F7">
              <w:rPr>
                <w:noProof/>
                <w:webHidden/>
              </w:rPr>
              <w:t>3</w:t>
            </w:r>
          </w:hyperlink>
        </w:p>
        <w:p w14:paraId="7E42D74D" w14:textId="1F4B3D9C" w:rsidR="00A14822" w:rsidRDefault="00A14822">
          <w:pPr>
            <w:pStyle w:val="TOC3"/>
            <w:tabs>
              <w:tab w:val="right" w:leader="dot" w:pos="9350"/>
            </w:tabs>
            <w:rPr>
              <w:rFonts w:eastAsiaTheme="minorEastAsia"/>
              <w:noProof/>
            </w:rPr>
          </w:pPr>
          <w:hyperlink w:anchor="_Toc172702364" w:history="1">
            <w:r w:rsidRPr="0059612F">
              <w:rPr>
                <w:rStyle w:val="Hyperlink"/>
                <w:noProof/>
              </w:rPr>
              <w:t>SCOPE</w:t>
            </w:r>
            <w:r>
              <w:rPr>
                <w:noProof/>
                <w:webHidden/>
              </w:rPr>
              <w:tab/>
            </w:r>
            <w:r w:rsidR="00C472F7">
              <w:rPr>
                <w:noProof/>
                <w:webHidden/>
              </w:rPr>
              <w:t>3</w:t>
            </w:r>
          </w:hyperlink>
        </w:p>
        <w:p w14:paraId="654AA745" w14:textId="77ED76AD" w:rsidR="00A14822" w:rsidRDefault="00A14822">
          <w:pPr>
            <w:pStyle w:val="TOC3"/>
            <w:tabs>
              <w:tab w:val="right" w:leader="dot" w:pos="9350"/>
            </w:tabs>
            <w:rPr>
              <w:rFonts w:eastAsiaTheme="minorEastAsia"/>
              <w:noProof/>
            </w:rPr>
          </w:pPr>
          <w:hyperlink w:anchor="_Toc172702365" w:history="1">
            <w:r w:rsidRPr="0059612F">
              <w:rPr>
                <w:rStyle w:val="Hyperlink"/>
                <w:noProof/>
              </w:rPr>
              <w:t>LOCATION</w:t>
            </w:r>
            <w:r>
              <w:rPr>
                <w:noProof/>
                <w:webHidden/>
              </w:rPr>
              <w:tab/>
            </w:r>
            <w:r w:rsidR="00C472F7">
              <w:rPr>
                <w:noProof/>
                <w:webHidden/>
              </w:rPr>
              <w:t>4</w:t>
            </w:r>
          </w:hyperlink>
        </w:p>
        <w:p w14:paraId="7BFFFD78" w14:textId="3EEB71C5" w:rsidR="00A14822" w:rsidRDefault="00A14822">
          <w:pPr>
            <w:pStyle w:val="TOC3"/>
            <w:tabs>
              <w:tab w:val="right" w:leader="dot" w:pos="9350"/>
            </w:tabs>
          </w:pPr>
          <w:hyperlink w:anchor="_Toc172702366" w:history="1">
            <w:r w:rsidRPr="0059612F">
              <w:rPr>
                <w:rStyle w:val="Hyperlink"/>
                <w:noProof/>
              </w:rPr>
              <w:t>PROJECT DELIVERABLES</w:t>
            </w:r>
            <w:r>
              <w:rPr>
                <w:noProof/>
                <w:webHidden/>
              </w:rPr>
              <w:tab/>
            </w:r>
            <w:r w:rsidR="00C472F7">
              <w:rPr>
                <w:noProof/>
                <w:webHidden/>
              </w:rPr>
              <w:t>5</w:t>
            </w:r>
          </w:hyperlink>
        </w:p>
        <w:p w14:paraId="48CD8355" w14:textId="327B9A81" w:rsidR="00B9446B" w:rsidRPr="00B9446B" w:rsidRDefault="00B9446B" w:rsidP="00336427">
          <w:pPr>
            <w:ind w:firstLine="440"/>
          </w:pPr>
          <w:r>
            <w:t>TRANSITION SCHEDULE</w:t>
          </w:r>
          <w:r w:rsidR="00336427">
            <w:t>………………………………………………………………………………………………………………….</w:t>
          </w:r>
          <w:r w:rsidR="00C472F7">
            <w:t>.</w:t>
          </w:r>
          <w:r w:rsidR="00336427">
            <w:t xml:space="preserve"> 5</w:t>
          </w:r>
        </w:p>
        <w:p w14:paraId="27F6A147" w14:textId="4C3F0910" w:rsidR="00A14822" w:rsidRDefault="00A14822">
          <w:pPr>
            <w:pStyle w:val="TOC3"/>
            <w:tabs>
              <w:tab w:val="right" w:leader="dot" w:pos="9350"/>
            </w:tabs>
            <w:rPr>
              <w:rFonts w:eastAsiaTheme="minorEastAsia"/>
              <w:noProof/>
            </w:rPr>
          </w:pPr>
          <w:hyperlink w:anchor="_Toc172702371" w:history="1">
            <w:r w:rsidRPr="0059612F">
              <w:rPr>
                <w:rStyle w:val="Hyperlink"/>
                <w:noProof/>
              </w:rPr>
              <w:t>REQUIREMENTS</w:t>
            </w:r>
            <w:r>
              <w:rPr>
                <w:noProof/>
                <w:webHidden/>
              </w:rPr>
              <w:tab/>
            </w:r>
            <w:r w:rsidR="00C472F7">
              <w:rPr>
                <w:noProof/>
                <w:webHidden/>
              </w:rPr>
              <w:t>5-7</w:t>
            </w:r>
          </w:hyperlink>
        </w:p>
        <w:p w14:paraId="6FE37710" w14:textId="57406831" w:rsidR="00A14822" w:rsidRDefault="00A14822">
          <w:pPr>
            <w:pStyle w:val="TOC3"/>
            <w:tabs>
              <w:tab w:val="right" w:leader="dot" w:pos="9350"/>
            </w:tabs>
            <w:rPr>
              <w:rFonts w:eastAsiaTheme="minorEastAsia"/>
              <w:noProof/>
            </w:rPr>
          </w:pPr>
          <w:hyperlink w:anchor="_Toc172702374" w:history="1">
            <w:r w:rsidRPr="0059612F">
              <w:rPr>
                <w:rStyle w:val="Hyperlink"/>
                <w:noProof/>
              </w:rPr>
              <w:t>A</w:t>
            </w:r>
            <w:r w:rsidR="00C41CA3">
              <w:rPr>
                <w:rStyle w:val="Hyperlink"/>
                <w:noProof/>
              </w:rPr>
              <w:t>PPENDIX A</w:t>
            </w:r>
            <w:r w:rsidR="00FE3740">
              <w:rPr>
                <w:rStyle w:val="Hyperlink"/>
                <w:noProof/>
              </w:rPr>
              <w:t xml:space="preserve"> </w:t>
            </w:r>
            <w:r>
              <w:rPr>
                <w:noProof/>
                <w:webHidden/>
              </w:rPr>
              <w:tab/>
            </w:r>
            <w:r w:rsidR="00C472F7">
              <w:rPr>
                <w:noProof/>
                <w:webHidden/>
              </w:rPr>
              <w:t>8</w:t>
            </w:r>
          </w:hyperlink>
        </w:p>
        <w:p w14:paraId="045BA3CB" w14:textId="77777777" w:rsidR="0080597D" w:rsidRPr="00A51399" w:rsidRDefault="0080597D">
          <w:pPr>
            <w:rPr>
              <w:rFonts w:ascii="Times New Roman" w:hAnsi="Times New Roman" w:cs="Times New Roman"/>
              <w:sz w:val="24"/>
              <w:szCs w:val="24"/>
            </w:rPr>
          </w:pPr>
          <w:r w:rsidRPr="00A51399">
            <w:rPr>
              <w:rFonts w:ascii="Times New Roman" w:hAnsi="Times New Roman" w:cs="Times New Roman"/>
              <w:b/>
              <w:bCs/>
              <w:noProof/>
              <w:sz w:val="24"/>
              <w:szCs w:val="24"/>
            </w:rPr>
            <w:fldChar w:fldCharType="end"/>
          </w:r>
        </w:p>
      </w:sdtContent>
    </w:sdt>
    <w:p w14:paraId="4AA75A6B" w14:textId="77777777" w:rsidR="0080597D" w:rsidRPr="00A51399" w:rsidRDefault="0080597D">
      <w:pPr>
        <w:rPr>
          <w:rFonts w:ascii="Times New Roman" w:hAnsi="Times New Roman" w:cs="Times New Roman"/>
          <w:sz w:val="24"/>
          <w:szCs w:val="24"/>
        </w:rPr>
      </w:pPr>
    </w:p>
    <w:p w14:paraId="11449324" w14:textId="77777777" w:rsidR="00FB2A4D" w:rsidRPr="00A51399" w:rsidRDefault="00FB2A4D">
      <w:pPr>
        <w:rPr>
          <w:rFonts w:ascii="Times New Roman" w:hAnsi="Times New Roman" w:cs="Times New Roman"/>
          <w:sz w:val="24"/>
          <w:szCs w:val="24"/>
        </w:rPr>
      </w:pPr>
      <w:r w:rsidRPr="00A51399">
        <w:rPr>
          <w:rFonts w:ascii="Times New Roman" w:hAnsi="Times New Roman" w:cs="Times New Roman"/>
          <w:sz w:val="24"/>
          <w:szCs w:val="24"/>
        </w:rPr>
        <w:br w:type="page"/>
      </w:r>
    </w:p>
    <w:p w14:paraId="7C7AFE11" w14:textId="6AA4008C" w:rsidR="00FB2A4D" w:rsidRPr="0011514F" w:rsidRDefault="00FB2A4D" w:rsidP="0011514F">
      <w:pPr>
        <w:pStyle w:val="Heading3"/>
      </w:pPr>
      <w:bookmarkStart w:id="0" w:name="_Toc172702362"/>
      <w:bookmarkStart w:id="1" w:name="_Hlk172024456"/>
      <w:r w:rsidRPr="00983735">
        <w:lastRenderedPageBreak/>
        <w:t>INTRODUCTION</w:t>
      </w:r>
      <w:bookmarkEnd w:id="0"/>
    </w:p>
    <w:sdt>
      <w:sdtPr>
        <w:rPr>
          <w:rFonts w:ascii="Times New Roman" w:hAnsi="Times New Roman" w:cs="Times New Roman"/>
          <w:sz w:val="24"/>
          <w:szCs w:val="24"/>
        </w:rPr>
        <w:id w:val="933164721"/>
        <w:placeholder>
          <w:docPart w:val="FE126AF403DC415292765B1922F12EAB"/>
        </w:placeholder>
      </w:sdtPr>
      <w:sdtEndPr/>
      <w:sdtContent>
        <w:bookmarkStart w:id="2" w:name="_Hlk159575139" w:displacedByCustomXml="prev"/>
        <w:p w14:paraId="596E85C5" w14:textId="679F42E5" w:rsidR="0011514F" w:rsidRPr="00AB16EF" w:rsidRDefault="0011514F" w:rsidP="0011514F">
          <w:pPr>
            <w:rPr>
              <w:rFonts w:ascii="Tahoma" w:hAnsi="Tahoma" w:cs="Tahoma"/>
              <w:bCs/>
            </w:rPr>
          </w:pPr>
          <w:r w:rsidRPr="00AB16EF">
            <w:rPr>
              <w:rFonts w:ascii="Tahoma" w:hAnsi="Tahoma" w:cs="Tahoma"/>
              <w:bCs/>
            </w:rPr>
            <w:t>The</w:t>
          </w:r>
          <w:bookmarkEnd w:id="2"/>
          <w:r w:rsidRPr="00AB16EF">
            <w:rPr>
              <w:rFonts w:ascii="Tahoma" w:hAnsi="Tahoma" w:cs="Tahoma"/>
              <w:bCs/>
            </w:rPr>
            <w:t xml:space="preserve"> Scope of Work (SOW) is fo</w:t>
          </w:r>
          <w:r>
            <w:rPr>
              <w:rFonts w:ascii="Tahoma" w:hAnsi="Tahoma" w:cs="Tahoma"/>
              <w:bCs/>
            </w:rPr>
            <w:t xml:space="preserve">r </w:t>
          </w:r>
          <w:r w:rsidR="00617290">
            <w:rPr>
              <w:rFonts w:ascii="Tahoma" w:hAnsi="Tahoma" w:cs="Tahoma"/>
              <w:b/>
            </w:rPr>
            <w:t>Janitorial Products and Service</w:t>
          </w:r>
          <w:r>
            <w:rPr>
              <w:rFonts w:ascii="Tahoma" w:hAnsi="Tahoma" w:cs="Tahoma"/>
              <w:bCs/>
            </w:rPr>
            <w:t xml:space="preserve"> for all Cherokee Properties.</w:t>
          </w:r>
        </w:p>
        <w:p w14:paraId="1571BEE6" w14:textId="000EAD30" w:rsidR="00FB2A4D" w:rsidRPr="00A51399" w:rsidRDefault="00B55E3F" w:rsidP="00FB2A4D">
          <w:pPr>
            <w:rPr>
              <w:rFonts w:ascii="Times New Roman" w:hAnsi="Times New Roman" w:cs="Times New Roman"/>
              <w:sz w:val="24"/>
              <w:szCs w:val="24"/>
            </w:rPr>
          </w:pPr>
        </w:p>
      </w:sdtContent>
    </w:sdt>
    <w:p w14:paraId="47B5469C" w14:textId="75A3B555" w:rsidR="00FB2A4D" w:rsidRPr="00983735" w:rsidRDefault="00FB2A4D" w:rsidP="00A14822">
      <w:pPr>
        <w:pStyle w:val="Heading3"/>
      </w:pPr>
      <w:bookmarkStart w:id="3" w:name="_Toc172702363"/>
      <w:r w:rsidRPr="00983735">
        <w:t>PURPOSE and OBJECTIVE</w:t>
      </w:r>
      <w:bookmarkEnd w:id="3"/>
      <w:r w:rsidR="006116E6">
        <w:br/>
      </w:r>
    </w:p>
    <w:p w14:paraId="78FE69C9" w14:textId="77777777" w:rsidR="006116E6" w:rsidRPr="00387E7C" w:rsidRDefault="006116E6" w:rsidP="006116E6">
      <w:pPr>
        <w:rPr>
          <w:rFonts w:ascii="Times New Roman" w:hAnsi="Times New Roman" w:cs="Times New Roman"/>
          <w:sz w:val="24"/>
          <w:szCs w:val="24"/>
        </w:rPr>
      </w:pPr>
      <w:bookmarkStart w:id="4" w:name="_Toc172702364"/>
      <w:r w:rsidRPr="00387E7C">
        <w:rPr>
          <w:rFonts w:ascii="Times New Roman" w:hAnsi="Times New Roman" w:cs="Times New Roman"/>
          <w:sz w:val="24"/>
          <w:szCs w:val="24"/>
        </w:rPr>
        <w:t>CNE is seeking a qualified Janitorial Supply Partner to provide the products identified in Appendix A to (8) Eight Warehouse Locations, supporting (10) ten Casino Properties across Northeastern Oklahoma.  The selected vendor must demonstrate the capability to deliver predictable, uninterrupted supplies across a multi-property gaming and hospitality environment operating 24 hours a day, 7 days a week.</w:t>
      </w:r>
    </w:p>
    <w:p w14:paraId="532D316A" w14:textId="77777777" w:rsidR="006116E6" w:rsidRPr="00387E7C" w:rsidRDefault="006116E6" w:rsidP="006116E6">
      <w:pPr>
        <w:rPr>
          <w:rFonts w:ascii="Times New Roman" w:hAnsi="Times New Roman" w:cs="Times New Roman"/>
          <w:sz w:val="24"/>
          <w:szCs w:val="24"/>
        </w:rPr>
      </w:pPr>
      <w:r w:rsidRPr="00387E7C">
        <w:rPr>
          <w:rFonts w:ascii="Times New Roman" w:hAnsi="Times New Roman" w:cs="Times New Roman"/>
          <w:sz w:val="24"/>
          <w:szCs w:val="24"/>
        </w:rPr>
        <w:t>The awarded vendor will serve as the primary supplier of janitorial products for the duration of the agreed upon term and will be expected to meet or exceed all service, delivery, communication and performance standards outlined in this Scope of Work.  This will include maintaining consistent product availability, supporting operational needs, and providing proactive communication with Purchasing and Property Management regarding any supply risks, substitutions, or service issues.</w:t>
      </w:r>
    </w:p>
    <w:p w14:paraId="07CD90D8" w14:textId="77777777" w:rsidR="006116E6" w:rsidRDefault="006116E6" w:rsidP="006116E6">
      <w:pPr>
        <w:rPr>
          <w:rFonts w:ascii="Times New Roman" w:hAnsi="Times New Roman" w:cs="Times New Roman"/>
          <w:sz w:val="24"/>
          <w:szCs w:val="24"/>
        </w:rPr>
      </w:pPr>
      <w:r w:rsidRPr="00387E7C">
        <w:rPr>
          <w:rFonts w:ascii="Times New Roman" w:hAnsi="Times New Roman" w:cs="Times New Roman"/>
          <w:sz w:val="24"/>
          <w:szCs w:val="24"/>
        </w:rPr>
        <w:t>CNE is seeking a vendor partner, not just a distributor, capable of supporting complex, high-volume, multi-location operation with responsiveness, and commitment to a potentially long-term service partnership.</w:t>
      </w:r>
    </w:p>
    <w:p w14:paraId="2C5E6A6B" w14:textId="77777777" w:rsidR="00387E7C" w:rsidRPr="00387E7C" w:rsidRDefault="00387E7C" w:rsidP="006116E6">
      <w:pPr>
        <w:rPr>
          <w:rFonts w:ascii="Times New Roman" w:hAnsi="Times New Roman" w:cs="Times New Roman"/>
          <w:sz w:val="24"/>
          <w:szCs w:val="24"/>
        </w:rPr>
      </w:pPr>
    </w:p>
    <w:p w14:paraId="4A77AB27" w14:textId="160FE3FE" w:rsidR="00FB2A4D" w:rsidRPr="00983735" w:rsidRDefault="00FB2A4D" w:rsidP="00A14822">
      <w:pPr>
        <w:pStyle w:val="Heading3"/>
      </w:pPr>
      <w:r w:rsidRPr="00983735">
        <w:t>SCOPE</w:t>
      </w:r>
      <w:bookmarkEnd w:id="4"/>
      <w:r w:rsidR="00BA22BB">
        <w:br/>
      </w:r>
    </w:p>
    <w:sdt>
      <w:sdtPr>
        <w:rPr>
          <w:rFonts w:ascii="Times New Roman" w:hAnsi="Times New Roman" w:cs="Times New Roman"/>
          <w:sz w:val="24"/>
          <w:szCs w:val="24"/>
        </w:rPr>
        <w:id w:val="2119864506"/>
        <w:placeholder>
          <w:docPart w:val="FE126AF403DC415292765B1922F12EAB"/>
        </w:placeholder>
      </w:sdtPr>
      <w:sdtEndPr/>
      <w:sdtContent>
        <w:p w14:paraId="59D9FC7E" w14:textId="77777777" w:rsidR="00BA22BB" w:rsidRPr="00BA22BB" w:rsidRDefault="00BA22BB" w:rsidP="00BA22BB">
          <w:pPr>
            <w:rPr>
              <w:rFonts w:ascii="Times New Roman" w:hAnsi="Times New Roman" w:cs="Times New Roman"/>
              <w:sz w:val="24"/>
              <w:szCs w:val="24"/>
            </w:rPr>
          </w:pPr>
          <w:r w:rsidRPr="00BA22BB">
            <w:rPr>
              <w:rFonts w:ascii="Times New Roman" w:hAnsi="Times New Roman" w:cs="Times New Roman"/>
              <w:sz w:val="24"/>
              <w:szCs w:val="24"/>
            </w:rPr>
            <w:t xml:space="preserve">Awarded </w:t>
          </w:r>
          <w:proofErr w:type="gramStart"/>
          <w:r w:rsidRPr="00BA22BB">
            <w:rPr>
              <w:rFonts w:ascii="Times New Roman" w:hAnsi="Times New Roman" w:cs="Times New Roman"/>
              <w:sz w:val="24"/>
              <w:szCs w:val="24"/>
            </w:rPr>
            <w:t>vendor</w:t>
          </w:r>
          <w:proofErr w:type="gramEnd"/>
          <w:r w:rsidRPr="00BA22BB">
            <w:rPr>
              <w:rFonts w:ascii="Times New Roman" w:hAnsi="Times New Roman" w:cs="Times New Roman"/>
              <w:sz w:val="24"/>
              <w:szCs w:val="24"/>
            </w:rPr>
            <w:t xml:space="preserve"> shall provide all janitorial products listed in Appendix A, along with the service, delivery, stocking, communication, and performance requirements defined in this Scope of Work.  Products not listed in Appendix A may be purchased from the vendor at the Buyer’s discretion, however, the Buyer is not obligated to procure non-Appendix items exclusively from the awarded vendor.</w:t>
          </w:r>
        </w:p>
        <w:p w14:paraId="1E977E78" w14:textId="1AB84631" w:rsidR="00FB2A4D" w:rsidRPr="00BA22BB" w:rsidRDefault="00BA22BB" w:rsidP="00BA22BB">
          <w:pPr>
            <w:rPr>
              <w:rFonts w:ascii="Times New Roman" w:hAnsi="Times New Roman" w:cs="Times New Roman"/>
              <w:sz w:val="24"/>
              <w:szCs w:val="24"/>
            </w:rPr>
          </w:pPr>
          <w:r w:rsidRPr="00BA22BB">
            <w:rPr>
              <w:rFonts w:ascii="Times New Roman" w:hAnsi="Times New Roman" w:cs="Times New Roman"/>
              <w:sz w:val="24"/>
              <w:szCs w:val="24"/>
            </w:rPr>
            <w:t>The vendor shall supply all janitorial products listed in Appendix A and provide the service, delivery, stocking, and communication support required to maintain uninterrupted supply to eight (8) warehouse locations servicing ten (10) casino properties. This includes maintaining adequate inventory, especially Critical Items, meeting delivery windows, providing accurate documentation, supporting any transitions and training, providing advance price-change notifications, communicating substitutions or supply risks in advance, and participating in required reporting and quarterly business reviews.</w:t>
          </w:r>
        </w:p>
      </w:sdtContent>
    </w:sdt>
    <w:p w14:paraId="79C288D1" w14:textId="77777777" w:rsidR="00D16AC3" w:rsidRDefault="00D16AC3" w:rsidP="00A14822">
      <w:pPr>
        <w:pStyle w:val="Heading3"/>
      </w:pPr>
      <w:bookmarkStart w:id="5" w:name="_Toc172702365"/>
    </w:p>
    <w:p w14:paraId="3E51379A" w14:textId="77777777" w:rsidR="00D16AC3" w:rsidRDefault="00D16AC3" w:rsidP="00A14822">
      <w:pPr>
        <w:pStyle w:val="Heading3"/>
      </w:pPr>
    </w:p>
    <w:p w14:paraId="3677F334" w14:textId="77777777" w:rsidR="00D16AC3" w:rsidRDefault="00D16AC3" w:rsidP="00A14822">
      <w:pPr>
        <w:pStyle w:val="Heading3"/>
      </w:pPr>
    </w:p>
    <w:p w14:paraId="7733441F" w14:textId="3139F826" w:rsidR="00AC7790" w:rsidRPr="00AC7790" w:rsidRDefault="00FB2A4D" w:rsidP="00AC7790">
      <w:pPr>
        <w:pStyle w:val="Heading3"/>
      </w:pPr>
      <w:r w:rsidRPr="00983735">
        <w:t>LOCATION</w:t>
      </w:r>
      <w:bookmarkEnd w:id="5"/>
      <w:r w:rsidR="00AC7790">
        <w:br/>
      </w:r>
    </w:p>
    <w:sdt>
      <w:sdtPr>
        <w:rPr>
          <w:rFonts w:ascii="Times New Roman" w:hAnsi="Times New Roman" w:cs="Times New Roman"/>
          <w:sz w:val="24"/>
          <w:szCs w:val="24"/>
        </w:rPr>
        <w:id w:val="-1149277338"/>
        <w:placeholder>
          <w:docPart w:val="FE126AF403DC415292765B1922F12EAB"/>
        </w:placeholder>
      </w:sdtPr>
      <w:sdtEndPr/>
      <w:sdtContent>
        <w:p w14:paraId="2FC9D47E" w14:textId="7F22DADD" w:rsidR="00AC7790" w:rsidRPr="00AC7790" w:rsidRDefault="00AC7790" w:rsidP="00AC7790">
          <w:pPr>
            <w:rPr>
              <w:rFonts w:ascii="Times New Roman" w:hAnsi="Times New Roman" w:cs="Times New Roman"/>
              <w:sz w:val="24"/>
              <w:szCs w:val="24"/>
            </w:rPr>
          </w:pPr>
          <w:r w:rsidRPr="00AC7790">
            <w:rPr>
              <w:rFonts w:ascii="Times New Roman" w:hAnsi="Times New Roman" w:cs="Times New Roman"/>
              <w:sz w:val="24"/>
              <w:szCs w:val="24"/>
            </w:rPr>
            <w:t>Products will be delivered to eight (8) warehouse locations servicing ten (10) casino properties across Northeastern Oklahoma.  Locations are listed below:</w:t>
          </w:r>
        </w:p>
        <w:p w14:paraId="6CE9B2A6" w14:textId="77777777" w:rsidR="00AC7790" w:rsidRPr="00AC7790" w:rsidRDefault="00AC7790" w:rsidP="00AC7790">
          <w:pPr>
            <w:rPr>
              <w:rFonts w:ascii="Times New Roman" w:hAnsi="Times New Roman" w:cs="Times New Roman"/>
              <w:sz w:val="24"/>
              <w:szCs w:val="24"/>
            </w:rPr>
          </w:pPr>
          <w:r w:rsidRPr="00AC7790">
            <w:rPr>
              <w:rFonts w:ascii="Times New Roman" w:hAnsi="Times New Roman" w:cs="Times New Roman"/>
              <w:b/>
              <w:bCs/>
              <w:sz w:val="24"/>
              <w:szCs w:val="24"/>
            </w:rPr>
            <w:t>WAREHOUSE LOCATIONS:</w:t>
          </w:r>
        </w:p>
        <w:p w14:paraId="5C777214" w14:textId="77777777" w:rsidR="00AC7790" w:rsidRPr="00AC7790" w:rsidRDefault="00AC7790" w:rsidP="00AC7790">
          <w:pPr>
            <w:pStyle w:val="ListParagraph"/>
            <w:numPr>
              <w:ilvl w:val="0"/>
              <w:numId w:val="5"/>
            </w:numPr>
            <w:spacing w:line="278" w:lineRule="auto"/>
            <w:rPr>
              <w:rFonts w:ascii="Times New Roman" w:hAnsi="Times New Roman" w:cs="Times New Roman"/>
              <w:sz w:val="24"/>
              <w:szCs w:val="24"/>
            </w:rPr>
          </w:pPr>
          <w:r w:rsidRPr="00AC7790">
            <w:rPr>
              <w:rFonts w:ascii="Times New Roman" w:hAnsi="Times New Roman" w:cs="Times New Roman"/>
              <w:sz w:val="24"/>
              <w:szCs w:val="24"/>
            </w:rPr>
            <w:t>Hard Rock Casino Tulsa – 777 W. Cherokee St. Catoosa, OK 74015</w:t>
          </w:r>
        </w:p>
        <w:p w14:paraId="6D605922" w14:textId="77777777" w:rsidR="00AC7790" w:rsidRPr="00AC7790" w:rsidRDefault="00AC7790" w:rsidP="00AC7790">
          <w:pPr>
            <w:pStyle w:val="ListParagraph"/>
            <w:numPr>
              <w:ilvl w:val="0"/>
              <w:numId w:val="3"/>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West Siloam Springs – 2416 US HWY 412 West Siloam Springs, OK 74338</w:t>
          </w:r>
        </w:p>
        <w:p w14:paraId="24484E76" w14:textId="77777777" w:rsidR="00AC7790" w:rsidRPr="00AC7790" w:rsidRDefault="00AC7790" w:rsidP="00AC7790">
          <w:pPr>
            <w:pStyle w:val="ListParagraph"/>
            <w:numPr>
              <w:ilvl w:val="0"/>
              <w:numId w:val="3"/>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Roland – 109 Cherokee Blvd. Roland, OK  74954</w:t>
          </w:r>
        </w:p>
        <w:p w14:paraId="04F6C7EF" w14:textId="77777777" w:rsidR="00AC7790" w:rsidRPr="00AC7790" w:rsidRDefault="00AC7790" w:rsidP="00AC7790">
          <w:pPr>
            <w:pStyle w:val="ListParagraph"/>
            <w:numPr>
              <w:ilvl w:val="0"/>
              <w:numId w:val="3"/>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Ramona – 31501 US HWY 75 Ramona, OK  74061</w:t>
          </w:r>
        </w:p>
        <w:p w14:paraId="0A60BEBF" w14:textId="77777777" w:rsidR="00AC7790" w:rsidRPr="00AC7790" w:rsidRDefault="00AC7790" w:rsidP="00AC7790">
          <w:pPr>
            <w:pStyle w:val="ListParagraph"/>
            <w:numPr>
              <w:ilvl w:val="0"/>
              <w:numId w:val="3"/>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Tahlequah – 3307 S. Seven Clans Ave. Tahlequah, OK 74464</w:t>
          </w:r>
        </w:p>
        <w:p w14:paraId="3C824B3A" w14:textId="77777777" w:rsidR="00AC7790" w:rsidRPr="00AC7790" w:rsidRDefault="00AC7790" w:rsidP="00AC7790">
          <w:pPr>
            <w:pStyle w:val="ListParagraph"/>
            <w:numPr>
              <w:ilvl w:val="0"/>
              <w:numId w:val="3"/>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Ft. Gibson – 107 N. Georgetown Rd. Ft. Gibson, OK  74434</w:t>
          </w:r>
        </w:p>
        <w:p w14:paraId="6D8CBF7E" w14:textId="77777777" w:rsidR="00AC7790" w:rsidRPr="00AC7790" w:rsidRDefault="00AC7790" w:rsidP="00AC7790">
          <w:pPr>
            <w:pStyle w:val="ListParagraph"/>
            <w:numPr>
              <w:ilvl w:val="0"/>
              <w:numId w:val="3"/>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Grove – 24979 US HWY 59 Grove, OK  74344</w:t>
          </w:r>
        </w:p>
        <w:p w14:paraId="4B9B334B" w14:textId="77777777" w:rsidR="00AC7790" w:rsidRPr="00AC7790" w:rsidRDefault="00AC7790" w:rsidP="00AC7790">
          <w:pPr>
            <w:pStyle w:val="ListParagraph"/>
            <w:numPr>
              <w:ilvl w:val="0"/>
              <w:numId w:val="3"/>
            </w:numPr>
            <w:spacing w:line="278" w:lineRule="auto"/>
            <w:rPr>
              <w:rFonts w:ascii="Times New Roman" w:hAnsi="Times New Roman" w:cs="Times New Roman"/>
              <w:sz w:val="24"/>
              <w:szCs w:val="24"/>
            </w:rPr>
          </w:pPr>
          <w:r w:rsidRPr="00AC7790">
            <w:rPr>
              <w:rFonts w:ascii="Times New Roman" w:hAnsi="Times New Roman" w:cs="Times New Roman"/>
              <w:sz w:val="24"/>
              <w:szCs w:val="24"/>
            </w:rPr>
            <w:t xml:space="preserve">Tahlequah </w:t>
          </w:r>
          <w:proofErr w:type="spellStart"/>
          <w:r w:rsidRPr="00AC7790">
            <w:rPr>
              <w:rFonts w:ascii="Times New Roman" w:hAnsi="Times New Roman" w:cs="Times New Roman"/>
              <w:sz w:val="24"/>
              <w:szCs w:val="24"/>
            </w:rPr>
            <w:t>Woodmark</w:t>
          </w:r>
          <w:proofErr w:type="spellEnd"/>
          <w:r w:rsidRPr="00AC7790">
            <w:rPr>
              <w:rFonts w:ascii="Times New Roman" w:hAnsi="Times New Roman" w:cs="Times New Roman"/>
              <w:sz w:val="24"/>
              <w:szCs w:val="24"/>
            </w:rPr>
            <w:t xml:space="preserve"> Warehouse – 950 Main Parkway Tahlequah, OK  74464</w:t>
          </w:r>
        </w:p>
        <w:p w14:paraId="1C0B9B17" w14:textId="77777777" w:rsidR="00AC7790" w:rsidRPr="00AC7790" w:rsidRDefault="00AC7790" w:rsidP="00AC7790">
          <w:pPr>
            <w:rPr>
              <w:rFonts w:ascii="Times New Roman" w:hAnsi="Times New Roman" w:cs="Times New Roman"/>
              <w:b/>
              <w:bCs/>
              <w:sz w:val="24"/>
              <w:szCs w:val="24"/>
            </w:rPr>
          </w:pPr>
          <w:r w:rsidRPr="00AC7790">
            <w:rPr>
              <w:rFonts w:ascii="Times New Roman" w:hAnsi="Times New Roman" w:cs="Times New Roman"/>
              <w:b/>
              <w:bCs/>
              <w:sz w:val="24"/>
              <w:szCs w:val="24"/>
            </w:rPr>
            <w:t>CASINO LOCATIONS:</w:t>
          </w:r>
        </w:p>
        <w:p w14:paraId="044988D7"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Hard Rock Casino Tulsa – 777 W. Cherokee St. Catoosa, OK 74015</w:t>
          </w:r>
        </w:p>
        <w:p w14:paraId="14135E86"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West Siloam Springs – 2416 US HWY 412 West Siloam Springs, OK 74338</w:t>
          </w:r>
        </w:p>
        <w:p w14:paraId="461DF9EB"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Roland – 109 Cherokee Blvd. Roland, OK  74954</w:t>
          </w:r>
        </w:p>
        <w:p w14:paraId="070991E7"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Ramona – 31501 US HWY 75 Ramona, OK  74061</w:t>
          </w:r>
        </w:p>
        <w:p w14:paraId="152F031E"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Tahlequah – 3307 S. Seven Clans Ave. Tahlequah, OK 74464</w:t>
          </w:r>
        </w:p>
        <w:p w14:paraId="47975237"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Ft. Gibson – 107 N. Georgetown Rd. Ft. Gibson, OK  74434</w:t>
          </w:r>
        </w:p>
        <w:p w14:paraId="1339EA4A"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Grove – 24979 US HWY 59 Grove, OK  74344</w:t>
          </w:r>
        </w:p>
        <w:p w14:paraId="2FDDD859"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Sallisaw – 1621 West Ruth Street Sallisaw, OK  74955</w:t>
          </w:r>
        </w:p>
        <w:p w14:paraId="6CC1A266"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Cherokee Casino South Coffeyville – 1506 N. Highway 169 South Coffeyville, OK  74072</w:t>
          </w:r>
        </w:p>
        <w:p w14:paraId="5B801B9D" w14:textId="77777777" w:rsidR="00AC7790" w:rsidRPr="00AC7790" w:rsidRDefault="00AC7790" w:rsidP="00AC7790">
          <w:pPr>
            <w:pStyle w:val="ListParagraph"/>
            <w:numPr>
              <w:ilvl w:val="0"/>
              <w:numId w:val="4"/>
            </w:numPr>
            <w:spacing w:line="278" w:lineRule="auto"/>
            <w:rPr>
              <w:rFonts w:ascii="Times New Roman" w:hAnsi="Times New Roman" w:cs="Times New Roman"/>
              <w:sz w:val="24"/>
              <w:szCs w:val="24"/>
            </w:rPr>
          </w:pPr>
          <w:r w:rsidRPr="00AC7790">
            <w:rPr>
              <w:rFonts w:ascii="Times New Roman" w:hAnsi="Times New Roman" w:cs="Times New Roman"/>
              <w:sz w:val="24"/>
              <w:szCs w:val="24"/>
            </w:rPr>
            <w:t>Will Rogers Downs Racino – 20900 South 4200 Road Claremore, OK 74019</w:t>
          </w:r>
        </w:p>
        <w:p w14:paraId="3134B403" w14:textId="5CB039EA" w:rsidR="00FB2A4D" w:rsidRPr="00A51399" w:rsidRDefault="00B55E3F" w:rsidP="00FB2A4D">
          <w:pPr>
            <w:rPr>
              <w:rFonts w:ascii="Times New Roman" w:hAnsi="Times New Roman" w:cs="Times New Roman"/>
              <w:sz w:val="24"/>
              <w:szCs w:val="24"/>
            </w:rPr>
          </w:pPr>
        </w:p>
      </w:sdtContent>
    </w:sdt>
    <w:p w14:paraId="2D02D866" w14:textId="77777777" w:rsidR="00AC7790" w:rsidRDefault="00AC7790" w:rsidP="00A14822">
      <w:pPr>
        <w:pStyle w:val="Heading3"/>
      </w:pPr>
      <w:bookmarkStart w:id="6" w:name="_Toc172702366"/>
    </w:p>
    <w:p w14:paraId="374A15D8" w14:textId="77777777" w:rsidR="00AC7790" w:rsidRDefault="00AC7790" w:rsidP="00A14822">
      <w:pPr>
        <w:pStyle w:val="Heading3"/>
      </w:pPr>
    </w:p>
    <w:p w14:paraId="1A6C25B3" w14:textId="77777777" w:rsidR="00AC7790" w:rsidRDefault="00AC7790">
      <w:pPr>
        <w:rPr>
          <w:rFonts w:ascii="Times New Roman" w:eastAsiaTheme="majorEastAsia" w:hAnsi="Times New Roman" w:cstheme="majorBidi"/>
          <w:b/>
          <w:sz w:val="24"/>
          <w:szCs w:val="24"/>
        </w:rPr>
      </w:pPr>
      <w:r>
        <w:br w:type="page"/>
      </w:r>
    </w:p>
    <w:p w14:paraId="4DEAAEE8" w14:textId="4359EC24" w:rsidR="00FB2A4D" w:rsidRPr="00983735" w:rsidRDefault="00FB2A4D" w:rsidP="00A14822">
      <w:pPr>
        <w:pStyle w:val="Heading3"/>
      </w:pPr>
      <w:r w:rsidRPr="00983735">
        <w:lastRenderedPageBreak/>
        <w:t>PROJECT DELIVERABLES</w:t>
      </w:r>
      <w:bookmarkEnd w:id="6"/>
      <w:r w:rsidR="00AC7790">
        <w:br/>
      </w:r>
    </w:p>
    <w:sdt>
      <w:sdtPr>
        <w:rPr>
          <w:rFonts w:ascii="Times New Roman" w:hAnsi="Times New Roman" w:cs="Times New Roman"/>
          <w:sz w:val="24"/>
          <w:szCs w:val="24"/>
        </w:rPr>
        <w:id w:val="949585212"/>
        <w:placeholder>
          <w:docPart w:val="FE126AF403DC415292765B1922F12EAB"/>
        </w:placeholder>
      </w:sdtPr>
      <w:sdtEndPr>
        <w:rPr>
          <w:rFonts w:asciiTheme="minorHAnsi" w:hAnsiTheme="minorHAnsi" w:cstheme="minorBidi"/>
          <w:sz w:val="22"/>
          <w:szCs w:val="22"/>
        </w:rPr>
      </w:sdtEndPr>
      <w:sdtContent>
        <w:p w14:paraId="5F58BAAE"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Reliable supply of all janitorial products listed in Appendix A</w:t>
          </w:r>
        </w:p>
        <w:p w14:paraId="69FE9DD8"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Consistent, on‑time delivery to all designated warehouse locations</w:t>
          </w:r>
        </w:p>
        <w:p w14:paraId="67FA523D"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Accurate packing slips and complete shipment documentation</w:t>
          </w:r>
        </w:p>
        <w:p w14:paraId="0931E826"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Proactive communication regarding supply risks, substitutions, and product changes</w:t>
          </w:r>
        </w:p>
        <w:p w14:paraId="5AA3A231"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 xml:space="preserve">Quarterly reporting on usage, quarterly </w:t>
          </w:r>
          <w:proofErr w:type="gramStart"/>
          <w:r w:rsidRPr="001E3738">
            <w:rPr>
              <w:rFonts w:ascii="Times New Roman" w:hAnsi="Times New Roman" w:cs="Times New Roman"/>
              <w:sz w:val="24"/>
              <w:szCs w:val="24"/>
            </w:rPr>
            <w:t>spend</w:t>
          </w:r>
          <w:proofErr w:type="gramEnd"/>
          <w:r w:rsidRPr="001E3738">
            <w:rPr>
              <w:rFonts w:ascii="Times New Roman" w:hAnsi="Times New Roman" w:cs="Times New Roman"/>
              <w:sz w:val="24"/>
              <w:szCs w:val="24"/>
            </w:rPr>
            <w:t>, pricing changes, and service performance</w:t>
          </w:r>
        </w:p>
        <w:p w14:paraId="529207F8"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Support for item transitions, dispenser transitions and training where applicable</w:t>
          </w:r>
        </w:p>
        <w:p w14:paraId="47488A96"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 xml:space="preserve">Dedicated Sales and Support team, </w:t>
          </w:r>
          <w:proofErr w:type="gramStart"/>
          <w:r w:rsidRPr="001E3738">
            <w:rPr>
              <w:rFonts w:ascii="Times New Roman" w:hAnsi="Times New Roman" w:cs="Times New Roman"/>
              <w:sz w:val="24"/>
              <w:szCs w:val="24"/>
            </w:rPr>
            <w:t>including:</w:t>
          </w:r>
          <w:proofErr w:type="gramEnd"/>
          <w:r w:rsidRPr="001E3738">
            <w:rPr>
              <w:rFonts w:ascii="Times New Roman" w:hAnsi="Times New Roman" w:cs="Times New Roman"/>
              <w:sz w:val="24"/>
              <w:szCs w:val="24"/>
            </w:rPr>
            <w:t xml:space="preserve"> Outside Sales, Inside Sales, and support chain for all properties</w:t>
          </w:r>
        </w:p>
        <w:p w14:paraId="44F97FFF" w14:textId="77777777" w:rsidR="001E3738" w:rsidRPr="001E3738" w:rsidRDefault="001E3738" w:rsidP="001E3738">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Participation in quarterly business reviews with Buyer and Purchasing Managers</w:t>
          </w:r>
        </w:p>
        <w:p w14:paraId="4DDE02B1" w14:textId="5AC56EA4" w:rsidR="00FB2A4D" w:rsidRPr="001E3738" w:rsidRDefault="001E3738" w:rsidP="00FB2A4D">
          <w:pPr>
            <w:pStyle w:val="ListParagraph"/>
            <w:numPr>
              <w:ilvl w:val="0"/>
              <w:numId w:val="6"/>
            </w:numPr>
            <w:spacing w:line="240" w:lineRule="auto"/>
            <w:rPr>
              <w:rFonts w:ascii="Times New Roman" w:hAnsi="Times New Roman" w:cs="Times New Roman"/>
              <w:sz w:val="24"/>
              <w:szCs w:val="24"/>
            </w:rPr>
          </w:pPr>
          <w:r w:rsidRPr="001E3738">
            <w:rPr>
              <w:rFonts w:ascii="Times New Roman" w:hAnsi="Times New Roman" w:cs="Times New Roman"/>
              <w:sz w:val="24"/>
              <w:szCs w:val="24"/>
            </w:rPr>
            <w:t>Issue resolution documentation summarizing delivery, service, and invoicing issues and the corrective actions taken</w:t>
          </w:r>
        </w:p>
      </w:sdtContent>
    </w:sdt>
    <w:p w14:paraId="591A2AC6" w14:textId="2B7FC951" w:rsidR="00FB2A4D" w:rsidRPr="00070234" w:rsidRDefault="00070234" w:rsidP="00A14822">
      <w:pPr>
        <w:pStyle w:val="Heading3"/>
        <w:rPr>
          <w:rFonts w:cs="Times New Roman"/>
        </w:rPr>
      </w:pPr>
      <w:bookmarkStart w:id="7" w:name="_Toc172702367"/>
      <w:r>
        <w:br/>
      </w:r>
      <w:r w:rsidR="001E3738">
        <w:t>TRANSITION SCHEDULE</w:t>
      </w:r>
      <w:bookmarkEnd w:id="7"/>
      <w:r w:rsidR="001E3738">
        <w:br/>
      </w:r>
    </w:p>
    <w:sdt>
      <w:sdtPr>
        <w:rPr>
          <w:rFonts w:ascii="Times New Roman" w:hAnsi="Times New Roman" w:cs="Times New Roman"/>
          <w:sz w:val="24"/>
          <w:szCs w:val="24"/>
        </w:rPr>
        <w:id w:val="-803459330"/>
        <w:placeholder>
          <w:docPart w:val="FE126AF403DC415292765B1922F12EAB"/>
        </w:placeholder>
      </w:sdtPr>
      <w:sdtEndPr/>
      <w:sdtContent>
        <w:p w14:paraId="0B66A455" w14:textId="77777777" w:rsidR="00070234" w:rsidRPr="00070234" w:rsidRDefault="00070234" w:rsidP="00070234">
          <w:pPr>
            <w:spacing w:line="240" w:lineRule="auto"/>
            <w:rPr>
              <w:rFonts w:ascii="Times New Roman" w:hAnsi="Times New Roman" w:cs="Times New Roman"/>
              <w:sz w:val="24"/>
              <w:szCs w:val="24"/>
            </w:rPr>
          </w:pPr>
          <w:r w:rsidRPr="00070234">
            <w:rPr>
              <w:rFonts w:ascii="Times New Roman" w:hAnsi="Times New Roman" w:cs="Times New Roman"/>
              <w:sz w:val="24"/>
              <w:szCs w:val="24"/>
            </w:rPr>
            <w:t>If product changes, dispenser changes, or vendor transitions occur during the awarding of this project, the Vendor shall provide a detailed Transition Schedule outlining all required activities, timelines, and responsibilities.  The Transition Schedule shall include, at minimum:</w:t>
          </w:r>
        </w:p>
        <w:p w14:paraId="7BBB11C3" w14:textId="77777777" w:rsidR="00070234" w:rsidRPr="00070234" w:rsidRDefault="00070234" w:rsidP="00070234">
          <w:pPr>
            <w:pStyle w:val="ListParagraph"/>
            <w:numPr>
              <w:ilvl w:val="0"/>
              <w:numId w:val="7"/>
            </w:numPr>
            <w:spacing w:line="240" w:lineRule="auto"/>
            <w:rPr>
              <w:rFonts w:ascii="Times New Roman" w:hAnsi="Times New Roman" w:cs="Times New Roman"/>
              <w:sz w:val="24"/>
              <w:szCs w:val="24"/>
            </w:rPr>
          </w:pPr>
          <w:r w:rsidRPr="00070234">
            <w:rPr>
              <w:rFonts w:ascii="Times New Roman" w:hAnsi="Times New Roman" w:cs="Times New Roman"/>
              <w:sz w:val="24"/>
              <w:szCs w:val="24"/>
            </w:rPr>
            <w:t>A timeline for product changeovers from existing supply</w:t>
          </w:r>
        </w:p>
        <w:p w14:paraId="52A57195" w14:textId="77777777" w:rsidR="00070234" w:rsidRPr="00070234" w:rsidRDefault="00070234" w:rsidP="00070234">
          <w:pPr>
            <w:pStyle w:val="ListParagraph"/>
            <w:numPr>
              <w:ilvl w:val="0"/>
              <w:numId w:val="7"/>
            </w:numPr>
            <w:spacing w:line="240" w:lineRule="auto"/>
            <w:rPr>
              <w:rFonts w:ascii="Times New Roman" w:hAnsi="Times New Roman" w:cs="Times New Roman"/>
              <w:sz w:val="24"/>
              <w:szCs w:val="24"/>
            </w:rPr>
          </w:pPr>
          <w:r w:rsidRPr="00070234">
            <w:rPr>
              <w:rFonts w:ascii="Times New Roman" w:hAnsi="Times New Roman" w:cs="Times New Roman"/>
              <w:sz w:val="24"/>
              <w:szCs w:val="24"/>
            </w:rPr>
            <w:t>A schedule for dispenser replacements, installations, or removals</w:t>
          </w:r>
        </w:p>
        <w:p w14:paraId="300331D4" w14:textId="77777777" w:rsidR="00070234" w:rsidRPr="00070234" w:rsidRDefault="00070234" w:rsidP="00070234">
          <w:pPr>
            <w:pStyle w:val="ListParagraph"/>
            <w:numPr>
              <w:ilvl w:val="0"/>
              <w:numId w:val="7"/>
            </w:numPr>
            <w:spacing w:line="240" w:lineRule="auto"/>
            <w:rPr>
              <w:rFonts w:ascii="Times New Roman" w:hAnsi="Times New Roman" w:cs="Times New Roman"/>
              <w:sz w:val="24"/>
              <w:szCs w:val="24"/>
            </w:rPr>
          </w:pPr>
          <w:r w:rsidRPr="00070234">
            <w:rPr>
              <w:rFonts w:ascii="Times New Roman" w:hAnsi="Times New Roman" w:cs="Times New Roman"/>
              <w:sz w:val="24"/>
              <w:szCs w:val="24"/>
            </w:rPr>
            <w:t>Training schedules for property staff, if applicable</w:t>
          </w:r>
        </w:p>
        <w:p w14:paraId="059B5D8C" w14:textId="77777777" w:rsidR="00070234" w:rsidRPr="00070234" w:rsidRDefault="00070234" w:rsidP="00070234">
          <w:pPr>
            <w:pStyle w:val="ListParagraph"/>
            <w:numPr>
              <w:ilvl w:val="0"/>
              <w:numId w:val="7"/>
            </w:numPr>
            <w:spacing w:line="240" w:lineRule="auto"/>
            <w:rPr>
              <w:rFonts w:ascii="Times New Roman" w:hAnsi="Times New Roman" w:cs="Times New Roman"/>
              <w:sz w:val="24"/>
              <w:szCs w:val="24"/>
            </w:rPr>
          </w:pPr>
          <w:r w:rsidRPr="00070234">
            <w:rPr>
              <w:rFonts w:ascii="Times New Roman" w:hAnsi="Times New Roman" w:cs="Times New Roman"/>
              <w:sz w:val="24"/>
              <w:szCs w:val="24"/>
            </w:rPr>
            <w:t>Identification of any required site visits or coordination with property teams</w:t>
          </w:r>
        </w:p>
        <w:p w14:paraId="34607AEF" w14:textId="77777777" w:rsidR="00070234" w:rsidRPr="00070234" w:rsidRDefault="00070234" w:rsidP="00070234">
          <w:pPr>
            <w:pStyle w:val="ListParagraph"/>
            <w:numPr>
              <w:ilvl w:val="0"/>
              <w:numId w:val="7"/>
            </w:numPr>
            <w:spacing w:line="240" w:lineRule="auto"/>
            <w:rPr>
              <w:rFonts w:ascii="Times New Roman" w:hAnsi="Times New Roman" w:cs="Times New Roman"/>
              <w:sz w:val="24"/>
              <w:szCs w:val="24"/>
            </w:rPr>
          </w:pPr>
          <w:r w:rsidRPr="00070234">
            <w:rPr>
              <w:rFonts w:ascii="Times New Roman" w:hAnsi="Times New Roman" w:cs="Times New Roman"/>
              <w:sz w:val="24"/>
              <w:szCs w:val="24"/>
            </w:rPr>
            <w:t>A communication plan for each phase of the transition</w:t>
          </w:r>
        </w:p>
        <w:p w14:paraId="7458E9B4" w14:textId="77777777" w:rsidR="00070234" w:rsidRPr="00070234" w:rsidRDefault="00070234" w:rsidP="00070234">
          <w:pPr>
            <w:pStyle w:val="ListParagraph"/>
            <w:numPr>
              <w:ilvl w:val="0"/>
              <w:numId w:val="7"/>
            </w:numPr>
            <w:spacing w:line="240" w:lineRule="auto"/>
            <w:rPr>
              <w:rFonts w:ascii="Times New Roman" w:hAnsi="Times New Roman" w:cs="Times New Roman"/>
              <w:sz w:val="24"/>
              <w:szCs w:val="24"/>
            </w:rPr>
          </w:pPr>
          <w:r w:rsidRPr="00070234">
            <w:rPr>
              <w:rFonts w:ascii="Times New Roman" w:hAnsi="Times New Roman" w:cs="Times New Roman"/>
              <w:sz w:val="24"/>
              <w:szCs w:val="24"/>
            </w:rPr>
            <w:t>Expected completion dates for each transition activity</w:t>
          </w:r>
        </w:p>
        <w:p w14:paraId="120A9827" w14:textId="77777777" w:rsidR="00070234" w:rsidRPr="00070234" w:rsidRDefault="00070234" w:rsidP="00070234">
          <w:pPr>
            <w:spacing w:line="240" w:lineRule="auto"/>
            <w:rPr>
              <w:rFonts w:ascii="Times New Roman" w:hAnsi="Times New Roman" w:cs="Times New Roman"/>
              <w:sz w:val="24"/>
              <w:szCs w:val="24"/>
            </w:rPr>
          </w:pPr>
          <w:r w:rsidRPr="00070234">
            <w:rPr>
              <w:rFonts w:ascii="Times New Roman" w:hAnsi="Times New Roman" w:cs="Times New Roman"/>
              <w:sz w:val="24"/>
              <w:szCs w:val="24"/>
            </w:rPr>
            <w:t>The Vendor is responsible for coordinating all transition activities with each Properties Management, along with Buyer, to ensure minimal disruption to operations.</w:t>
          </w:r>
        </w:p>
        <w:p w14:paraId="668B7ADD" w14:textId="729A8DA0" w:rsidR="00FB2A4D" w:rsidRPr="00070234" w:rsidRDefault="00070234" w:rsidP="00070234">
          <w:pPr>
            <w:spacing w:line="240" w:lineRule="auto"/>
            <w:rPr>
              <w:rFonts w:ascii="Times New Roman" w:hAnsi="Times New Roman" w:cs="Times New Roman"/>
              <w:sz w:val="24"/>
              <w:szCs w:val="24"/>
            </w:rPr>
          </w:pPr>
          <w:r w:rsidRPr="00070234">
            <w:rPr>
              <w:rFonts w:ascii="Times New Roman" w:hAnsi="Times New Roman" w:cs="Times New Roman"/>
              <w:sz w:val="24"/>
              <w:szCs w:val="24"/>
            </w:rPr>
            <w:t>The Vendor will be responsible for ANY costs associated with any product changes, dispenser changes, and installations needed, including cost of dispensers, if applicable.</w:t>
          </w:r>
        </w:p>
      </w:sdtContent>
    </w:sdt>
    <w:p w14:paraId="36DE9D90" w14:textId="354B7A7B" w:rsidR="00FB2A4D" w:rsidRPr="00A51399" w:rsidRDefault="00FB2A4D" w:rsidP="00FF6808">
      <w:pPr>
        <w:pStyle w:val="Heading3"/>
        <w:rPr>
          <w:rFonts w:cs="Times New Roman"/>
        </w:rPr>
      </w:pPr>
    </w:p>
    <w:p w14:paraId="11A15D10" w14:textId="6F7A155F" w:rsidR="00FB2A4D" w:rsidRPr="00983735" w:rsidRDefault="00FB2A4D" w:rsidP="00A14822">
      <w:pPr>
        <w:pStyle w:val="Heading3"/>
      </w:pPr>
      <w:bookmarkStart w:id="8" w:name="_Toc172702371"/>
      <w:r w:rsidRPr="00983735">
        <w:t>REQUIREMENTS</w:t>
      </w:r>
      <w:bookmarkEnd w:id="8"/>
      <w:r w:rsidR="005C4D18">
        <w:br/>
      </w:r>
    </w:p>
    <w:sdt>
      <w:sdtPr>
        <w:rPr>
          <w:rFonts w:ascii="Times New Roman" w:hAnsi="Times New Roman" w:cs="Times New Roman"/>
          <w:sz w:val="24"/>
          <w:szCs w:val="24"/>
        </w:rPr>
        <w:id w:val="1174306132"/>
        <w:placeholder>
          <w:docPart w:val="FE126AF403DC415292765B1922F12EAB"/>
        </w:placeholder>
      </w:sdtPr>
      <w:sdtEndPr/>
      <w:sdtContent>
        <w:p w14:paraId="3B2CB18E" w14:textId="77777777" w:rsidR="00786FB6" w:rsidRPr="005C4D18" w:rsidRDefault="00786FB6" w:rsidP="00786FB6">
          <w:pPr>
            <w:spacing w:line="240" w:lineRule="auto"/>
            <w:rPr>
              <w:rFonts w:ascii="Times New Roman" w:hAnsi="Times New Roman" w:cs="Times New Roman"/>
              <w:sz w:val="24"/>
              <w:szCs w:val="24"/>
            </w:rPr>
          </w:pPr>
          <w:r w:rsidRPr="005C4D18">
            <w:rPr>
              <w:rFonts w:ascii="Times New Roman" w:hAnsi="Times New Roman" w:cs="Times New Roman"/>
              <w:sz w:val="24"/>
              <w:szCs w:val="24"/>
            </w:rPr>
            <w:t>1. Delivery &amp; Logistics Requirements</w:t>
          </w:r>
        </w:p>
        <w:p w14:paraId="3CA463C9" w14:textId="411E55A7" w:rsidR="00786FB6" w:rsidRPr="005C4D18" w:rsidRDefault="00786FB6" w:rsidP="00786FB6">
          <w:pPr>
            <w:numPr>
              <w:ilvl w:val="0"/>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Deliveries must mee</w:t>
          </w:r>
          <w:r w:rsidR="005C4D18">
            <w:rPr>
              <w:rFonts w:ascii="Times New Roman" w:hAnsi="Times New Roman" w:cs="Times New Roman"/>
              <w:sz w:val="24"/>
              <w:szCs w:val="24"/>
            </w:rPr>
            <w:t>t</w:t>
          </w:r>
          <w:r w:rsidRPr="005C4D18">
            <w:rPr>
              <w:rFonts w:ascii="Times New Roman" w:hAnsi="Times New Roman" w:cs="Times New Roman"/>
              <w:sz w:val="24"/>
              <w:szCs w:val="24"/>
            </w:rPr>
            <w:t xml:space="preserve"> agreed delivery windows for each warehouse location</w:t>
          </w:r>
        </w:p>
        <w:p w14:paraId="0994EFA3" w14:textId="77777777" w:rsidR="00786FB6" w:rsidRPr="005C4D18" w:rsidRDefault="00786FB6" w:rsidP="00786FB6">
          <w:pPr>
            <w:numPr>
              <w:ilvl w:val="0"/>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Pallets must be stable, shrink</w:t>
          </w:r>
          <w:r w:rsidRPr="005C4D18">
            <w:rPr>
              <w:rFonts w:ascii="Times New Roman" w:hAnsi="Times New Roman" w:cs="Times New Roman"/>
              <w:sz w:val="24"/>
              <w:szCs w:val="24"/>
            </w:rPr>
            <w:noBreakHyphen/>
            <w:t>wrapped, and clearly labeled</w:t>
          </w:r>
        </w:p>
        <w:p w14:paraId="31B9FCFC" w14:textId="77777777" w:rsidR="00786FB6" w:rsidRPr="005C4D18" w:rsidRDefault="00786FB6" w:rsidP="00786FB6">
          <w:pPr>
            <w:numPr>
              <w:ilvl w:val="0"/>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Packing slips are required for every shipment and must include:</w:t>
          </w:r>
        </w:p>
        <w:p w14:paraId="472B0EF0"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PO number</w:t>
          </w:r>
        </w:p>
        <w:p w14:paraId="59E8DA4A"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Property and warehouse location</w:t>
          </w:r>
        </w:p>
        <w:p w14:paraId="550B1F33"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lastRenderedPageBreak/>
            <w:t>Item numbers and descriptions</w:t>
          </w:r>
        </w:p>
        <w:p w14:paraId="26B8CAF6"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Quantities ordered vs. shipped</w:t>
          </w:r>
        </w:p>
        <w:p w14:paraId="1A4EF445"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Backorders or approved substitutions</w:t>
          </w:r>
        </w:p>
        <w:p w14:paraId="61FDB7AF" w14:textId="77777777" w:rsidR="00786FB6" w:rsidRPr="005C4D18" w:rsidRDefault="00786FB6" w:rsidP="00786FB6">
          <w:pPr>
            <w:numPr>
              <w:ilvl w:val="0"/>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maintain a process for handling damaged, mis</w:t>
          </w:r>
          <w:r w:rsidRPr="005C4D18">
            <w:rPr>
              <w:rFonts w:ascii="Times New Roman" w:hAnsi="Times New Roman" w:cs="Times New Roman"/>
              <w:sz w:val="24"/>
              <w:szCs w:val="24"/>
            </w:rPr>
            <w:noBreakHyphen/>
            <w:t>picked, or incorrect items, including timely credits and replacement shipments.</w:t>
          </w:r>
        </w:p>
        <w:p w14:paraId="5D7C8C64" w14:textId="77777777" w:rsidR="00786FB6" w:rsidRPr="005C4D18" w:rsidRDefault="00786FB6" w:rsidP="00786FB6">
          <w:pPr>
            <w:numPr>
              <w:ilvl w:val="0"/>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make timely arrangements for pickups of damaged, mis-picked, or incorrect items.</w:t>
          </w:r>
        </w:p>
        <w:p w14:paraId="0E22ADAD" w14:textId="77777777" w:rsidR="00786FB6" w:rsidRPr="005C4D18" w:rsidRDefault="00786FB6" w:rsidP="00786FB6">
          <w:pPr>
            <w:numPr>
              <w:ilvl w:val="0"/>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Proof of Delivery (POD) must include:</w:t>
          </w:r>
        </w:p>
        <w:p w14:paraId="636D750D"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Signature or electronic confirmation</w:t>
          </w:r>
        </w:p>
        <w:p w14:paraId="79305E31"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Date and time delivered</w:t>
          </w:r>
        </w:p>
        <w:p w14:paraId="4F9A8246" w14:textId="77777777" w:rsidR="00786FB6" w:rsidRPr="005C4D18" w:rsidRDefault="00786FB6" w:rsidP="00786FB6">
          <w:pPr>
            <w:numPr>
              <w:ilvl w:val="1"/>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Number of pallets/containers</w:t>
          </w:r>
        </w:p>
        <w:p w14:paraId="758496A9" w14:textId="77777777" w:rsidR="00786FB6" w:rsidRPr="005C4D18" w:rsidRDefault="00786FB6" w:rsidP="00786FB6">
          <w:pPr>
            <w:numPr>
              <w:ilvl w:val="0"/>
              <w:numId w:val="8"/>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support reconciliation of PO vs. invoice vs. packing slip discrepancies within a mutually agreed upon time after notification.</w:t>
          </w:r>
        </w:p>
        <w:p w14:paraId="7A94CC6C" w14:textId="77777777" w:rsidR="00786FB6" w:rsidRPr="005C4D18" w:rsidRDefault="00786FB6" w:rsidP="00786FB6">
          <w:pPr>
            <w:spacing w:line="240" w:lineRule="auto"/>
            <w:rPr>
              <w:rFonts w:ascii="Times New Roman" w:hAnsi="Times New Roman" w:cs="Times New Roman"/>
              <w:sz w:val="24"/>
              <w:szCs w:val="24"/>
            </w:rPr>
          </w:pPr>
          <w:r w:rsidRPr="005C4D18">
            <w:rPr>
              <w:rFonts w:ascii="Times New Roman" w:hAnsi="Times New Roman" w:cs="Times New Roman"/>
              <w:sz w:val="24"/>
              <w:szCs w:val="24"/>
            </w:rPr>
            <w:t>2. Substitutions &amp; Product Change Control</w:t>
          </w:r>
        </w:p>
        <w:p w14:paraId="39735554" w14:textId="77777777" w:rsidR="00786FB6" w:rsidRPr="005C4D18" w:rsidRDefault="00786FB6" w:rsidP="00786FB6">
          <w:pPr>
            <w:numPr>
              <w:ilvl w:val="0"/>
              <w:numId w:val="9"/>
            </w:numPr>
            <w:spacing w:line="240" w:lineRule="auto"/>
            <w:rPr>
              <w:rFonts w:ascii="Times New Roman" w:hAnsi="Times New Roman" w:cs="Times New Roman"/>
              <w:sz w:val="24"/>
              <w:szCs w:val="24"/>
            </w:rPr>
          </w:pPr>
          <w:r w:rsidRPr="005C4D18">
            <w:rPr>
              <w:rFonts w:ascii="Times New Roman" w:hAnsi="Times New Roman" w:cs="Times New Roman"/>
              <w:sz w:val="24"/>
              <w:szCs w:val="24"/>
            </w:rPr>
            <w:t>No substitutions without prior written approval</w:t>
          </w:r>
        </w:p>
        <w:p w14:paraId="189D485E" w14:textId="77777777" w:rsidR="00786FB6" w:rsidRPr="005C4D18" w:rsidRDefault="00786FB6" w:rsidP="00786FB6">
          <w:pPr>
            <w:numPr>
              <w:ilvl w:val="0"/>
              <w:numId w:val="9"/>
            </w:numPr>
            <w:spacing w:line="240" w:lineRule="auto"/>
            <w:rPr>
              <w:rFonts w:ascii="Times New Roman" w:hAnsi="Times New Roman" w:cs="Times New Roman"/>
              <w:sz w:val="24"/>
              <w:szCs w:val="24"/>
            </w:rPr>
          </w:pPr>
          <w:r w:rsidRPr="005C4D18">
            <w:rPr>
              <w:rFonts w:ascii="Times New Roman" w:hAnsi="Times New Roman" w:cs="Times New Roman"/>
              <w:sz w:val="24"/>
              <w:szCs w:val="24"/>
            </w:rPr>
            <w:t>Proposed substitutes must meet or exceed performance and compatibility requirements</w:t>
          </w:r>
        </w:p>
        <w:p w14:paraId="64EDF13F" w14:textId="77777777" w:rsidR="00786FB6" w:rsidRPr="005C4D18" w:rsidRDefault="00786FB6" w:rsidP="00786FB6">
          <w:pPr>
            <w:numPr>
              <w:ilvl w:val="0"/>
              <w:numId w:val="9"/>
            </w:numPr>
            <w:spacing w:line="240" w:lineRule="auto"/>
            <w:rPr>
              <w:rFonts w:ascii="Times New Roman" w:hAnsi="Times New Roman" w:cs="Times New Roman"/>
              <w:sz w:val="24"/>
              <w:szCs w:val="24"/>
            </w:rPr>
          </w:pPr>
          <w:r w:rsidRPr="005C4D18">
            <w:rPr>
              <w:rFonts w:ascii="Times New Roman" w:hAnsi="Times New Roman" w:cs="Times New Roman"/>
              <w:sz w:val="24"/>
              <w:szCs w:val="24"/>
            </w:rPr>
            <w:t>If a Critical Item is backordered, any approved substitute must be provided at the same price as the contracted item, unless otherwise agreed upon by the Buyer.</w:t>
          </w:r>
        </w:p>
        <w:p w14:paraId="174CF972" w14:textId="77777777" w:rsidR="00786FB6" w:rsidRPr="005C4D18" w:rsidRDefault="00786FB6" w:rsidP="00786FB6">
          <w:pPr>
            <w:numPr>
              <w:ilvl w:val="0"/>
              <w:numId w:val="9"/>
            </w:numPr>
            <w:spacing w:line="240" w:lineRule="auto"/>
            <w:rPr>
              <w:rFonts w:ascii="Times New Roman" w:hAnsi="Times New Roman" w:cs="Times New Roman"/>
              <w:sz w:val="24"/>
              <w:szCs w:val="24"/>
            </w:rPr>
          </w:pPr>
          <w:r w:rsidRPr="005C4D18">
            <w:rPr>
              <w:rFonts w:ascii="Times New Roman" w:hAnsi="Times New Roman" w:cs="Times New Roman"/>
              <w:sz w:val="24"/>
              <w:szCs w:val="24"/>
            </w:rPr>
            <w:t>Samples must be reviewed and tested at two designated properties before approval</w:t>
          </w:r>
        </w:p>
        <w:p w14:paraId="7F0A520B" w14:textId="77777777" w:rsidR="00786FB6" w:rsidRPr="005C4D18" w:rsidRDefault="00786FB6" w:rsidP="00786FB6">
          <w:pPr>
            <w:numPr>
              <w:ilvl w:val="0"/>
              <w:numId w:val="9"/>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provide advance notice of discontinuations or major product changes</w:t>
          </w:r>
        </w:p>
        <w:p w14:paraId="25A9BD8E" w14:textId="66D487D2" w:rsidR="00786FB6" w:rsidRPr="005C4D18" w:rsidRDefault="00786FB6" w:rsidP="005C4D18">
          <w:pPr>
            <w:rPr>
              <w:rFonts w:ascii="Times New Roman" w:hAnsi="Times New Roman" w:cs="Times New Roman"/>
              <w:sz w:val="24"/>
              <w:szCs w:val="24"/>
            </w:rPr>
          </w:pPr>
          <w:r w:rsidRPr="005C4D18">
            <w:rPr>
              <w:rFonts w:ascii="Times New Roman" w:hAnsi="Times New Roman" w:cs="Times New Roman"/>
              <w:sz w:val="24"/>
              <w:szCs w:val="24"/>
            </w:rPr>
            <w:t>3. Pricing Requirements</w:t>
          </w:r>
        </w:p>
        <w:p w14:paraId="7BD9B777" w14:textId="77777777" w:rsidR="00786FB6" w:rsidRPr="005C4D18" w:rsidRDefault="00786FB6" w:rsidP="00786FB6">
          <w:pPr>
            <w:numPr>
              <w:ilvl w:val="0"/>
              <w:numId w:val="10"/>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shall take all reasonable measures to maintain firm pricing on all Appendix A items for a minimum period of twelve (12) months at a time, unless otherwise agreed upon by the Buyer.</w:t>
          </w:r>
        </w:p>
        <w:p w14:paraId="6A6049FD" w14:textId="77777777" w:rsidR="00786FB6" w:rsidRPr="005C4D18" w:rsidRDefault="00786FB6" w:rsidP="00786FB6">
          <w:pPr>
            <w:numPr>
              <w:ilvl w:val="0"/>
              <w:numId w:val="10"/>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provide advance notice of price changes when possible (target: 60 days)</w:t>
          </w:r>
        </w:p>
        <w:p w14:paraId="0B034F32" w14:textId="77777777" w:rsidR="00786FB6" w:rsidRPr="005C4D18" w:rsidRDefault="00786FB6" w:rsidP="00786FB6">
          <w:pPr>
            <w:numPr>
              <w:ilvl w:val="0"/>
              <w:numId w:val="10"/>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provide clear explanations for any price increases</w:t>
          </w:r>
        </w:p>
        <w:p w14:paraId="1901F44D" w14:textId="77777777" w:rsidR="00786FB6" w:rsidRPr="005C4D18" w:rsidRDefault="00786FB6" w:rsidP="00786FB6">
          <w:pPr>
            <w:numPr>
              <w:ilvl w:val="0"/>
              <w:numId w:val="10"/>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provide updated price lists with effective dates</w:t>
          </w:r>
        </w:p>
        <w:p w14:paraId="7B05FE38" w14:textId="77777777" w:rsidR="00786FB6" w:rsidRDefault="00786FB6" w:rsidP="00786FB6">
          <w:pPr>
            <w:numPr>
              <w:ilvl w:val="0"/>
              <w:numId w:val="10"/>
            </w:numPr>
            <w:spacing w:line="240" w:lineRule="auto"/>
            <w:rPr>
              <w:rFonts w:ascii="Times New Roman" w:hAnsi="Times New Roman" w:cs="Times New Roman"/>
              <w:sz w:val="24"/>
              <w:szCs w:val="24"/>
            </w:rPr>
          </w:pPr>
          <w:r w:rsidRPr="005C4D18">
            <w:rPr>
              <w:rFonts w:ascii="Times New Roman" w:hAnsi="Times New Roman" w:cs="Times New Roman"/>
              <w:sz w:val="24"/>
              <w:szCs w:val="24"/>
            </w:rPr>
            <w:t>Quarterly pricing review required for high</w:t>
          </w:r>
          <w:r w:rsidRPr="005C4D18">
            <w:rPr>
              <w:rFonts w:ascii="Times New Roman" w:hAnsi="Times New Roman" w:cs="Times New Roman"/>
              <w:sz w:val="24"/>
              <w:szCs w:val="24"/>
            </w:rPr>
            <w:noBreakHyphen/>
            <w:t>usage items</w:t>
          </w:r>
        </w:p>
        <w:p w14:paraId="6AE1138C" w14:textId="77777777" w:rsidR="005C4D18" w:rsidRDefault="005C4D18" w:rsidP="005C4D18">
          <w:pPr>
            <w:spacing w:line="240" w:lineRule="auto"/>
            <w:ind w:left="720"/>
            <w:rPr>
              <w:rFonts w:ascii="Times New Roman" w:hAnsi="Times New Roman" w:cs="Times New Roman"/>
              <w:sz w:val="24"/>
              <w:szCs w:val="24"/>
            </w:rPr>
          </w:pPr>
        </w:p>
        <w:p w14:paraId="19F42E8D" w14:textId="77777777" w:rsidR="005C4D18" w:rsidRDefault="005C4D18" w:rsidP="005C4D18">
          <w:pPr>
            <w:spacing w:line="240" w:lineRule="auto"/>
            <w:ind w:left="720"/>
            <w:rPr>
              <w:rFonts w:ascii="Times New Roman" w:hAnsi="Times New Roman" w:cs="Times New Roman"/>
              <w:sz w:val="24"/>
              <w:szCs w:val="24"/>
            </w:rPr>
          </w:pPr>
        </w:p>
        <w:p w14:paraId="7899F887" w14:textId="77777777" w:rsidR="005C4D18" w:rsidRPr="005C4D18" w:rsidRDefault="005C4D18" w:rsidP="005C4D18">
          <w:pPr>
            <w:spacing w:line="240" w:lineRule="auto"/>
            <w:ind w:left="720"/>
            <w:rPr>
              <w:rFonts w:ascii="Times New Roman" w:hAnsi="Times New Roman" w:cs="Times New Roman"/>
              <w:sz w:val="24"/>
              <w:szCs w:val="24"/>
            </w:rPr>
          </w:pPr>
        </w:p>
        <w:p w14:paraId="2FF698CA" w14:textId="5E534A8E" w:rsidR="00786FB6" w:rsidRPr="005C4D18" w:rsidRDefault="00786FB6" w:rsidP="00786FB6">
          <w:pPr>
            <w:spacing w:line="240" w:lineRule="auto"/>
            <w:rPr>
              <w:rFonts w:ascii="Times New Roman" w:hAnsi="Times New Roman" w:cs="Times New Roman"/>
              <w:sz w:val="24"/>
              <w:szCs w:val="24"/>
            </w:rPr>
          </w:pPr>
          <w:r w:rsidRPr="005C4D18">
            <w:rPr>
              <w:rFonts w:ascii="Times New Roman" w:hAnsi="Times New Roman" w:cs="Times New Roman"/>
              <w:sz w:val="24"/>
              <w:szCs w:val="24"/>
            </w:rPr>
            <w:lastRenderedPageBreak/>
            <w:t>4. Stocking &amp; Backorder Prevention</w:t>
          </w:r>
        </w:p>
        <w:p w14:paraId="22504D55" w14:textId="77777777" w:rsidR="00786FB6" w:rsidRPr="005C4D18" w:rsidRDefault="00786FB6" w:rsidP="00786FB6">
          <w:pPr>
            <w:numPr>
              <w:ilvl w:val="0"/>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maintain minimum on</w:t>
          </w:r>
          <w:r w:rsidRPr="005C4D18">
            <w:rPr>
              <w:rFonts w:ascii="Times New Roman" w:hAnsi="Times New Roman" w:cs="Times New Roman"/>
              <w:sz w:val="24"/>
              <w:szCs w:val="24"/>
            </w:rPr>
            <w:noBreakHyphen/>
            <w:t>hand inventory for all designated Items in Appendix A.</w:t>
          </w:r>
        </w:p>
        <w:p w14:paraId="7DB38872" w14:textId="77777777" w:rsidR="00786FB6" w:rsidRPr="005C4D18" w:rsidRDefault="00786FB6" w:rsidP="00786FB6">
          <w:pPr>
            <w:numPr>
              <w:ilvl w:val="0"/>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 must maintain a documented backorder prevention plan including:</w:t>
          </w:r>
        </w:p>
        <w:p w14:paraId="6B86840F" w14:textId="77777777" w:rsidR="00786FB6" w:rsidRPr="005C4D18" w:rsidRDefault="00786FB6" w:rsidP="00786FB6">
          <w:pPr>
            <w:numPr>
              <w:ilvl w:val="1"/>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Demand planning</w:t>
          </w:r>
        </w:p>
        <w:p w14:paraId="22851D06" w14:textId="77777777" w:rsidR="00786FB6" w:rsidRPr="005C4D18" w:rsidRDefault="00786FB6" w:rsidP="00786FB6">
          <w:pPr>
            <w:numPr>
              <w:ilvl w:val="1"/>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Safety stock thresholds</w:t>
          </w:r>
        </w:p>
        <w:p w14:paraId="67B74678" w14:textId="77777777" w:rsidR="00786FB6" w:rsidRPr="005C4D18" w:rsidRDefault="00786FB6" w:rsidP="00786FB6">
          <w:pPr>
            <w:numPr>
              <w:ilvl w:val="1"/>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Alternate sourcing options (subject to approval)</w:t>
          </w:r>
        </w:p>
        <w:p w14:paraId="7D175AE2" w14:textId="77777777" w:rsidR="00786FB6" w:rsidRPr="005C4D18" w:rsidRDefault="00786FB6" w:rsidP="00786FB6">
          <w:pPr>
            <w:numPr>
              <w:ilvl w:val="1"/>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Immediate notification of supply risks</w:t>
          </w:r>
        </w:p>
        <w:p w14:paraId="04068285" w14:textId="77777777" w:rsidR="00786FB6" w:rsidRPr="005C4D18" w:rsidRDefault="00786FB6" w:rsidP="00786FB6">
          <w:pPr>
            <w:numPr>
              <w:ilvl w:val="0"/>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Vendors must have a substitution or alternate option for high-usage items, in case of backorders, or stock outages.</w:t>
          </w:r>
        </w:p>
        <w:p w14:paraId="08C9E9E2" w14:textId="77777777" w:rsidR="00786FB6" w:rsidRPr="005C4D18" w:rsidRDefault="00786FB6" w:rsidP="00786FB6">
          <w:pPr>
            <w:numPr>
              <w:ilvl w:val="1"/>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All substitutions must be pre-approved by the Buyer</w:t>
          </w:r>
        </w:p>
        <w:p w14:paraId="451E341B" w14:textId="77777777" w:rsidR="00786FB6" w:rsidRPr="005C4D18" w:rsidRDefault="00786FB6" w:rsidP="00786FB6">
          <w:pPr>
            <w:numPr>
              <w:ilvl w:val="1"/>
              <w:numId w:val="11"/>
            </w:numPr>
            <w:spacing w:line="240" w:lineRule="auto"/>
            <w:rPr>
              <w:rFonts w:ascii="Times New Roman" w:hAnsi="Times New Roman" w:cs="Times New Roman"/>
              <w:sz w:val="24"/>
              <w:szCs w:val="24"/>
            </w:rPr>
          </w:pPr>
          <w:r w:rsidRPr="005C4D18">
            <w:rPr>
              <w:rFonts w:ascii="Times New Roman" w:hAnsi="Times New Roman" w:cs="Times New Roman"/>
              <w:sz w:val="24"/>
              <w:szCs w:val="24"/>
            </w:rPr>
            <w:t>Vendors should have access to or maintain adequate stock of the alternative product in cases of backorders.</w:t>
          </w:r>
        </w:p>
        <w:p w14:paraId="32C1C1B5" w14:textId="77777777" w:rsidR="00786FB6" w:rsidRPr="005C4D18" w:rsidRDefault="00786FB6" w:rsidP="00786FB6">
          <w:pPr>
            <w:spacing w:line="240" w:lineRule="auto"/>
            <w:rPr>
              <w:rFonts w:ascii="Times New Roman" w:hAnsi="Times New Roman" w:cs="Times New Roman"/>
              <w:sz w:val="24"/>
              <w:szCs w:val="24"/>
            </w:rPr>
          </w:pPr>
          <w:r w:rsidRPr="005C4D18">
            <w:rPr>
              <w:rFonts w:ascii="Times New Roman" w:hAnsi="Times New Roman" w:cs="Times New Roman"/>
              <w:sz w:val="24"/>
              <w:szCs w:val="24"/>
            </w:rPr>
            <w:t>5. Service Representative Requirements</w:t>
          </w:r>
        </w:p>
        <w:p w14:paraId="4E3104AF" w14:textId="77777777" w:rsidR="00786FB6" w:rsidRPr="005C4D18" w:rsidRDefault="00786FB6" w:rsidP="00786FB6">
          <w:pPr>
            <w:numPr>
              <w:ilvl w:val="0"/>
              <w:numId w:val="12"/>
            </w:numPr>
            <w:spacing w:line="240" w:lineRule="auto"/>
            <w:rPr>
              <w:rFonts w:ascii="Times New Roman" w:hAnsi="Times New Roman" w:cs="Times New Roman"/>
              <w:sz w:val="24"/>
              <w:szCs w:val="24"/>
            </w:rPr>
          </w:pPr>
          <w:r w:rsidRPr="005C4D18">
            <w:rPr>
              <w:rFonts w:ascii="Times New Roman" w:hAnsi="Times New Roman" w:cs="Times New Roman"/>
              <w:sz w:val="24"/>
              <w:szCs w:val="24"/>
            </w:rPr>
            <w:t xml:space="preserve">Vendor must provide </w:t>
          </w:r>
          <w:r w:rsidRPr="005C4D18">
            <w:rPr>
              <w:rFonts w:ascii="Times New Roman" w:hAnsi="Times New Roman" w:cs="Times New Roman"/>
              <w:b/>
              <w:bCs/>
              <w:sz w:val="24"/>
              <w:szCs w:val="24"/>
            </w:rPr>
            <w:t>one dedicated account representative</w:t>
          </w:r>
          <w:r w:rsidRPr="005C4D18">
            <w:rPr>
              <w:rFonts w:ascii="Times New Roman" w:hAnsi="Times New Roman" w:cs="Times New Roman"/>
              <w:sz w:val="24"/>
              <w:szCs w:val="24"/>
            </w:rPr>
            <w:t xml:space="preserve"> for all properties</w:t>
          </w:r>
        </w:p>
        <w:p w14:paraId="498D95CD" w14:textId="77777777" w:rsidR="00786FB6" w:rsidRPr="005C4D18" w:rsidRDefault="00786FB6" w:rsidP="00786FB6">
          <w:pPr>
            <w:numPr>
              <w:ilvl w:val="0"/>
              <w:numId w:val="12"/>
            </w:numPr>
            <w:spacing w:line="240" w:lineRule="auto"/>
            <w:rPr>
              <w:rFonts w:ascii="Times New Roman" w:hAnsi="Times New Roman" w:cs="Times New Roman"/>
              <w:sz w:val="24"/>
              <w:szCs w:val="24"/>
            </w:rPr>
          </w:pPr>
          <w:r w:rsidRPr="005C4D18">
            <w:rPr>
              <w:rFonts w:ascii="Times New Roman" w:hAnsi="Times New Roman" w:cs="Times New Roman"/>
              <w:sz w:val="24"/>
              <w:szCs w:val="24"/>
            </w:rPr>
            <w:t xml:space="preserve">Vendor must provide </w:t>
          </w:r>
          <w:r w:rsidRPr="005C4D18">
            <w:rPr>
              <w:rFonts w:ascii="Times New Roman" w:hAnsi="Times New Roman" w:cs="Times New Roman"/>
              <w:b/>
              <w:bCs/>
              <w:sz w:val="24"/>
              <w:szCs w:val="24"/>
            </w:rPr>
            <w:t>one dedicated inside support contact</w:t>
          </w:r>
          <w:r w:rsidRPr="005C4D18">
            <w:rPr>
              <w:rFonts w:ascii="Times New Roman" w:hAnsi="Times New Roman" w:cs="Times New Roman"/>
              <w:sz w:val="24"/>
              <w:szCs w:val="24"/>
            </w:rPr>
            <w:t xml:space="preserve"> for all properties and clear escalation chain</w:t>
          </w:r>
        </w:p>
        <w:p w14:paraId="57B8A659" w14:textId="77777777" w:rsidR="00786FB6" w:rsidRPr="005C4D18" w:rsidRDefault="00786FB6" w:rsidP="00786FB6">
          <w:pPr>
            <w:numPr>
              <w:ilvl w:val="0"/>
              <w:numId w:val="12"/>
            </w:numPr>
            <w:spacing w:line="240" w:lineRule="auto"/>
            <w:rPr>
              <w:rFonts w:ascii="Times New Roman" w:hAnsi="Times New Roman" w:cs="Times New Roman"/>
              <w:sz w:val="24"/>
              <w:szCs w:val="24"/>
            </w:rPr>
          </w:pPr>
          <w:r w:rsidRPr="005C4D18">
            <w:rPr>
              <w:rFonts w:ascii="Times New Roman" w:hAnsi="Times New Roman" w:cs="Times New Roman"/>
              <w:sz w:val="24"/>
              <w:szCs w:val="24"/>
            </w:rPr>
            <w:t>Representative must maintain regular communication with Purchasing and Property Management</w:t>
          </w:r>
        </w:p>
        <w:p w14:paraId="61D28C1B" w14:textId="77777777" w:rsidR="00786FB6" w:rsidRPr="005C4D18" w:rsidRDefault="00786FB6" w:rsidP="00786FB6">
          <w:pPr>
            <w:numPr>
              <w:ilvl w:val="0"/>
              <w:numId w:val="12"/>
            </w:numPr>
            <w:spacing w:line="240" w:lineRule="auto"/>
            <w:rPr>
              <w:rFonts w:ascii="Times New Roman" w:hAnsi="Times New Roman" w:cs="Times New Roman"/>
              <w:sz w:val="24"/>
              <w:szCs w:val="24"/>
            </w:rPr>
          </w:pPr>
          <w:r w:rsidRPr="005C4D18">
            <w:rPr>
              <w:rFonts w:ascii="Times New Roman" w:hAnsi="Times New Roman" w:cs="Times New Roman"/>
              <w:sz w:val="24"/>
              <w:szCs w:val="24"/>
            </w:rPr>
            <w:t>Representatives must participate in Quarterly Business Reviews and provide required reporting</w:t>
          </w:r>
        </w:p>
        <w:p w14:paraId="6555D79A" w14:textId="77777777" w:rsidR="00786FB6" w:rsidRPr="005C4D18" w:rsidRDefault="00786FB6" w:rsidP="00786FB6">
          <w:pPr>
            <w:numPr>
              <w:ilvl w:val="0"/>
              <w:numId w:val="12"/>
            </w:numPr>
            <w:spacing w:line="240" w:lineRule="auto"/>
            <w:rPr>
              <w:rFonts w:ascii="Times New Roman" w:hAnsi="Times New Roman" w:cs="Times New Roman"/>
              <w:sz w:val="24"/>
              <w:szCs w:val="24"/>
            </w:rPr>
          </w:pPr>
          <w:r w:rsidRPr="005C4D18">
            <w:rPr>
              <w:rFonts w:ascii="Times New Roman" w:hAnsi="Times New Roman" w:cs="Times New Roman"/>
              <w:sz w:val="24"/>
              <w:szCs w:val="24"/>
            </w:rPr>
            <w:t>Response time for issues:</w:t>
          </w:r>
        </w:p>
        <w:p w14:paraId="293D0916" w14:textId="77777777" w:rsidR="00786FB6" w:rsidRPr="005C4D18" w:rsidRDefault="00786FB6" w:rsidP="00786FB6">
          <w:pPr>
            <w:numPr>
              <w:ilvl w:val="1"/>
              <w:numId w:val="12"/>
            </w:numPr>
            <w:spacing w:line="240" w:lineRule="auto"/>
            <w:rPr>
              <w:rFonts w:ascii="Times New Roman" w:hAnsi="Times New Roman" w:cs="Times New Roman"/>
              <w:sz w:val="24"/>
              <w:szCs w:val="24"/>
            </w:rPr>
          </w:pPr>
          <w:r w:rsidRPr="005C4D18">
            <w:rPr>
              <w:rFonts w:ascii="Times New Roman" w:hAnsi="Times New Roman" w:cs="Times New Roman"/>
              <w:sz w:val="24"/>
              <w:szCs w:val="24"/>
            </w:rPr>
            <w:t>Initial response within 1 business day</w:t>
          </w:r>
        </w:p>
        <w:p w14:paraId="2592582D" w14:textId="77777777" w:rsidR="00786FB6" w:rsidRPr="005C4D18" w:rsidRDefault="00786FB6" w:rsidP="00786FB6">
          <w:pPr>
            <w:numPr>
              <w:ilvl w:val="1"/>
              <w:numId w:val="12"/>
            </w:numPr>
            <w:spacing w:line="240" w:lineRule="auto"/>
            <w:rPr>
              <w:rFonts w:ascii="Times New Roman" w:hAnsi="Times New Roman" w:cs="Times New Roman"/>
              <w:sz w:val="24"/>
              <w:szCs w:val="24"/>
            </w:rPr>
          </w:pPr>
          <w:r w:rsidRPr="005C4D18">
            <w:rPr>
              <w:rFonts w:ascii="Times New Roman" w:hAnsi="Times New Roman" w:cs="Times New Roman"/>
              <w:sz w:val="24"/>
              <w:szCs w:val="24"/>
            </w:rPr>
            <w:t>Resolution or action plan within 3 business days</w:t>
          </w:r>
        </w:p>
        <w:p w14:paraId="7A4D7F40" w14:textId="77777777" w:rsidR="00786FB6" w:rsidRPr="005C4D18" w:rsidRDefault="00786FB6" w:rsidP="00786FB6">
          <w:pPr>
            <w:spacing w:line="240" w:lineRule="auto"/>
            <w:rPr>
              <w:rFonts w:ascii="Times New Roman" w:hAnsi="Times New Roman" w:cs="Times New Roman"/>
              <w:sz w:val="24"/>
              <w:szCs w:val="24"/>
            </w:rPr>
          </w:pPr>
          <w:r w:rsidRPr="005C4D18">
            <w:rPr>
              <w:rFonts w:ascii="Times New Roman" w:hAnsi="Times New Roman" w:cs="Times New Roman"/>
              <w:sz w:val="24"/>
              <w:szCs w:val="24"/>
            </w:rPr>
            <w:t>6. Issue</w:t>
          </w:r>
          <w:r w:rsidRPr="005C4D18">
            <w:rPr>
              <w:rFonts w:ascii="Times New Roman" w:hAnsi="Times New Roman" w:cs="Times New Roman"/>
              <w:sz w:val="24"/>
              <w:szCs w:val="24"/>
            </w:rPr>
            <w:noBreakHyphen/>
            <w:t xml:space="preserve">Resolution Requirement </w:t>
          </w:r>
        </w:p>
        <w:p w14:paraId="0A17B057" w14:textId="77777777" w:rsidR="00786FB6" w:rsidRPr="005C4D18" w:rsidRDefault="00786FB6" w:rsidP="00786FB6">
          <w:pPr>
            <w:spacing w:line="240" w:lineRule="auto"/>
            <w:rPr>
              <w:rFonts w:ascii="Times New Roman" w:hAnsi="Times New Roman" w:cs="Times New Roman"/>
              <w:sz w:val="24"/>
              <w:szCs w:val="24"/>
            </w:rPr>
          </w:pPr>
          <w:r w:rsidRPr="005C4D18">
            <w:rPr>
              <w:rFonts w:ascii="Times New Roman" w:hAnsi="Times New Roman" w:cs="Times New Roman"/>
              <w:sz w:val="24"/>
              <w:szCs w:val="24"/>
            </w:rPr>
            <w:t>The vendor shall track delivery, service, and invoicing issues, including invoice corrections, credits, re</w:t>
          </w:r>
          <w:r w:rsidRPr="005C4D18">
            <w:rPr>
              <w:rFonts w:ascii="Times New Roman" w:hAnsi="Times New Roman" w:cs="Times New Roman"/>
              <w:sz w:val="24"/>
              <w:szCs w:val="24"/>
            </w:rPr>
            <w:noBreakHyphen/>
            <w:t>ships, damage replacements, and mis</w:t>
          </w:r>
          <w:r w:rsidRPr="005C4D18">
            <w:rPr>
              <w:rFonts w:ascii="Times New Roman" w:hAnsi="Times New Roman" w:cs="Times New Roman"/>
              <w:sz w:val="24"/>
              <w:szCs w:val="24"/>
            </w:rPr>
            <w:noBreakHyphen/>
            <w:t>ships, document the corrective actions taken, and provide summaries during quarterly business reviews.</w:t>
          </w:r>
        </w:p>
        <w:p w14:paraId="163233BB" w14:textId="766C16BF" w:rsidR="00786FB6" w:rsidRDefault="00786FB6" w:rsidP="00786FB6">
          <w:pPr>
            <w:rPr>
              <w:rFonts w:ascii="Times New Roman" w:hAnsi="Times New Roman" w:cs="Times New Roman"/>
              <w:sz w:val="24"/>
              <w:szCs w:val="24"/>
            </w:rPr>
          </w:pPr>
          <w:r w:rsidRPr="005C4D18">
            <w:rPr>
              <w:rFonts w:ascii="Times New Roman" w:hAnsi="Times New Roman" w:cs="Times New Roman"/>
              <w:sz w:val="24"/>
              <w:szCs w:val="24"/>
            </w:rPr>
            <w:t>All identified issues must be corrected or resolved within a mutually agreed amount of time after notification.</w:t>
          </w:r>
        </w:p>
        <w:p w14:paraId="47D2A1A2" w14:textId="77777777" w:rsidR="005C4D18" w:rsidRPr="005C4D18" w:rsidRDefault="00B55E3F" w:rsidP="00786FB6">
          <w:pPr>
            <w:rPr>
              <w:rFonts w:ascii="Times New Roman" w:hAnsi="Times New Roman" w:cs="Times New Roman"/>
              <w:sz w:val="24"/>
              <w:szCs w:val="24"/>
            </w:rPr>
          </w:pPr>
        </w:p>
      </w:sdtContent>
    </w:sdt>
    <w:p w14:paraId="49131C6F" w14:textId="43225F11" w:rsidR="00A14822" w:rsidRDefault="00A14822" w:rsidP="00A14822">
      <w:pPr>
        <w:pStyle w:val="Heading3"/>
      </w:pPr>
      <w:bookmarkStart w:id="9" w:name="_Toc172702374"/>
      <w:bookmarkEnd w:id="1"/>
      <w:r>
        <w:lastRenderedPageBreak/>
        <w:t>A</w:t>
      </w:r>
      <w:bookmarkEnd w:id="9"/>
      <w:r w:rsidR="005C4D18">
        <w:t>PPENDIX A</w:t>
      </w:r>
      <w:r w:rsidR="00BA55B5">
        <w:br/>
      </w:r>
      <w:r w:rsidR="00BA55B5">
        <w:br/>
        <w:t xml:space="preserve">SEE </w:t>
      </w:r>
      <w:r w:rsidR="00A63977">
        <w:t>“</w:t>
      </w:r>
      <w:r w:rsidR="0093234A">
        <w:t>APPENDIX A</w:t>
      </w:r>
      <w:r w:rsidR="00A63977">
        <w:t>”</w:t>
      </w:r>
      <w:r w:rsidR="0093234A">
        <w:t xml:space="preserve"> in DOCUMENTS SECTION</w:t>
      </w:r>
    </w:p>
    <w:p w14:paraId="1D37F383" w14:textId="76F5B763" w:rsidR="005C4D18" w:rsidRPr="005C4D18" w:rsidRDefault="00BA55B5" w:rsidP="005C4D18">
      <w:r>
        <w:br/>
      </w:r>
      <w:r w:rsidRPr="00BA55B5">
        <w:rPr>
          <w:noProof/>
        </w:rPr>
        <w:drawing>
          <wp:inline distT="0" distB="0" distL="0" distR="0" wp14:anchorId="46517D0F" wp14:editId="6468CDB3">
            <wp:extent cx="5943600" cy="6396355"/>
            <wp:effectExtent l="0" t="0" r="0" b="4445"/>
            <wp:docPr id="988141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396355"/>
                    </a:xfrm>
                    <a:prstGeom prst="rect">
                      <a:avLst/>
                    </a:prstGeom>
                    <a:noFill/>
                    <a:ln>
                      <a:noFill/>
                    </a:ln>
                  </pic:spPr>
                </pic:pic>
              </a:graphicData>
            </a:graphic>
          </wp:inline>
        </w:drawing>
      </w:r>
    </w:p>
    <w:p w14:paraId="7D369ECB" w14:textId="7DF0D484" w:rsidR="00A14822" w:rsidRDefault="00A14822" w:rsidP="00FB2A4D">
      <w:pPr>
        <w:rPr>
          <w:rFonts w:ascii="Times New Roman" w:hAnsi="Times New Roman" w:cs="Times New Roman"/>
          <w:sz w:val="24"/>
          <w:szCs w:val="24"/>
        </w:rPr>
      </w:pPr>
    </w:p>
    <w:sectPr w:rsidR="00A14822" w:rsidSect="005E592B">
      <w:headerReference w:type="default" r:id="rId13"/>
      <w:footerReference w:type="default" r:id="rId14"/>
      <w:pgSz w:w="12240" w:h="15840"/>
      <w:pgMar w:top="1440"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E4F6" w14:textId="77777777" w:rsidR="004B0666" w:rsidRDefault="004B0666" w:rsidP="00FB2A4D">
      <w:pPr>
        <w:spacing w:after="0" w:line="240" w:lineRule="auto"/>
      </w:pPr>
      <w:r>
        <w:separator/>
      </w:r>
    </w:p>
  </w:endnote>
  <w:endnote w:type="continuationSeparator" w:id="0">
    <w:p w14:paraId="543E09E3" w14:textId="77777777" w:rsidR="004B0666" w:rsidRDefault="004B0666" w:rsidP="00FB2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9D10" w14:textId="77777777" w:rsidR="005E592B" w:rsidRPr="005E592B" w:rsidRDefault="005E592B">
    <w:pPr>
      <w:pStyle w:val="Footer"/>
      <w:rPr>
        <w:b/>
        <w:bCs/>
        <w:color w:val="A39161"/>
      </w:rPr>
    </w:pPr>
    <w:r w:rsidRPr="005E592B">
      <w:rPr>
        <w:b/>
        <w:bCs/>
        <w:color w:val="A39161"/>
      </w:rPr>
      <w:t>CNE Procurement</w:t>
    </w:r>
    <w:r w:rsidRPr="005E592B">
      <w:rPr>
        <w:b/>
        <w:bCs/>
        <w:color w:val="A39161"/>
      </w:rPr>
      <w:ptab w:relativeTo="margin" w:alignment="center" w:leader="none"/>
    </w:r>
    <w:r w:rsidRPr="005E592B">
      <w:rPr>
        <w:b/>
        <w:bCs/>
        <w:color w:val="A39161"/>
      </w:rPr>
      <w:ptab w:relativeTo="margin" w:alignment="right" w:leader="none"/>
    </w:r>
    <w:r w:rsidRPr="005E592B">
      <w:rPr>
        <w:b/>
        <w:bCs/>
        <w:color w:val="A39161"/>
      </w:rPr>
      <w:t xml:space="preserve">Page </w:t>
    </w:r>
    <w:r w:rsidRPr="005E592B">
      <w:rPr>
        <w:b/>
        <w:bCs/>
        <w:color w:val="A39161"/>
      </w:rPr>
      <w:fldChar w:fldCharType="begin"/>
    </w:r>
    <w:r w:rsidRPr="005E592B">
      <w:rPr>
        <w:b/>
        <w:bCs/>
        <w:color w:val="A39161"/>
      </w:rPr>
      <w:instrText xml:space="preserve"> PAGE   \* MERGEFORMAT </w:instrText>
    </w:r>
    <w:r w:rsidRPr="005E592B">
      <w:rPr>
        <w:b/>
        <w:bCs/>
        <w:color w:val="A39161"/>
      </w:rPr>
      <w:fldChar w:fldCharType="separate"/>
    </w:r>
    <w:r w:rsidRPr="005E592B">
      <w:rPr>
        <w:b/>
        <w:bCs/>
        <w:noProof/>
        <w:color w:val="A39161"/>
      </w:rPr>
      <w:t>2</w:t>
    </w:r>
    <w:r w:rsidRPr="005E592B">
      <w:rPr>
        <w:b/>
        <w:bCs/>
        <w:color w:val="A39161"/>
      </w:rPr>
      <w:fldChar w:fldCharType="end"/>
    </w:r>
    <w:r w:rsidRPr="005E592B">
      <w:rPr>
        <w:b/>
        <w:bCs/>
        <w:color w:val="A39161"/>
      </w:rPr>
      <w:t xml:space="preserve"> of </w:t>
    </w:r>
    <w:r w:rsidRPr="005E592B">
      <w:rPr>
        <w:b/>
        <w:bCs/>
        <w:color w:val="A39161"/>
      </w:rPr>
      <w:fldChar w:fldCharType="begin"/>
    </w:r>
    <w:r w:rsidRPr="005E592B">
      <w:rPr>
        <w:b/>
        <w:bCs/>
        <w:color w:val="A39161"/>
      </w:rPr>
      <w:instrText xml:space="preserve"> NUMPAGES   \* MERGEFORMAT </w:instrText>
    </w:r>
    <w:r w:rsidRPr="005E592B">
      <w:rPr>
        <w:b/>
        <w:bCs/>
        <w:color w:val="A39161"/>
      </w:rPr>
      <w:fldChar w:fldCharType="separate"/>
    </w:r>
    <w:r w:rsidRPr="005E592B">
      <w:rPr>
        <w:b/>
        <w:bCs/>
        <w:noProof/>
        <w:color w:val="A39161"/>
      </w:rPr>
      <w:t>4</w:t>
    </w:r>
    <w:r w:rsidRPr="005E592B">
      <w:rPr>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ABED" w14:textId="77777777" w:rsidR="004B0666" w:rsidRDefault="004B0666" w:rsidP="00FB2A4D">
      <w:pPr>
        <w:spacing w:after="0" w:line="240" w:lineRule="auto"/>
      </w:pPr>
      <w:r>
        <w:separator/>
      </w:r>
    </w:p>
  </w:footnote>
  <w:footnote w:type="continuationSeparator" w:id="0">
    <w:p w14:paraId="1913D146" w14:textId="77777777" w:rsidR="004B0666" w:rsidRDefault="004B0666" w:rsidP="00FB2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C3EB" w14:textId="77777777" w:rsidR="00FB2A4D" w:rsidRDefault="00FB2A4D">
    <w:pPr>
      <w:pStyle w:val="Header"/>
    </w:pPr>
    <w:r>
      <w:rPr>
        <w:noProof/>
      </w:rPr>
      <mc:AlternateContent>
        <mc:Choice Requires="wps">
          <w:drawing>
            <wp:anchor distT="45720" distB="45720" distL="114300" distR="114300" simplePos="0" relativeHeight="251661312" behindDoc="0" locked="0" layoutInCell="1" allowOverlap="1" wp14:anchorId="1DD2648C" wp14:editId="2B68155E">
              <wp:simplePos x="0" y="0"/>
              <wp:positionH relativeFrom="column">
                <wp:posOffset>3190875</wp:posOffset>
              </wp:positionH>
              <wp:positionV relativeFrom="paragraph">
                <wp:posOffset>-99060</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2BA20AC9" w14:textId="77777777" w:rsidR="00FB2A4D" w:rsidRPr="00596C78" w:rsidRDefault="00FB2A4D" w:rsidP="00FB2A4D">
                          <w:pPr>
                            <w:jc w:val="center"/>
                            <w:rPr>
                              <w:sz w:val="52"/>
                              <w:szCs w:val="52"/>
                            </w:rPr>
                          </w:pPr>
                          <w:r>
                            <w:rPr>
                              <w:sz w:val="52"/>
                              <w:szCs w:val="52"/>
                            </w:rPr>
                            <w:t>S</w:t>
                          </w:r>
                          <w:r w:rsidR="005E592B">
                            <w:rPr>
                              <w:sz w:val="52"/>
                              <w:szCs w:val="52"/>
                            </w:rPr>
                            <w:t>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2648C" id="_x0000_t202" coordsize="21600,21600" o:spt="202" path="m,l,21600r21600,l21600,xe">
              <v:stroke joinstyle="miter"/>
              <v:path gradientshapeok="t" o:connecttype="rect"/>
            </v:shapetype>
            <v:shape id="Text Box 2" o:spid="_x0000_s1026" type="#_x0000_t202" style="position:absolute;margin-left:251.25pt;margin-top:-7.8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B2Xa8LfAAAACwEAAA8AAABkcnMvZG93bnJldi54bWxMj8FOwzAMhu9IvENkJC5oSzat&#10;pSp1p2kSEkfYuHDLGtMWGqdKsq3s6clOcLT96ff3V+vJDuJEPvSOERZzBYK4cabnFuF9/zwrQISo&#10;2ejBMSH8UIB1fXtT6dK4M7/RaRdbkUI4lBqhi3EspQxNR1aHuRuJ0+3TeatjGn0rjdfnFG4HuVQq&#10;l1b3nD50eqRtR8337mgRHiT39vXrpfCby+Nla1b8kUlGvL+bNk8gIk3xD4arflKHOjkd3JFNEANC&#10;ppZZQhFmiywHcSWUUml1QMiLFci6kv87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HZdrwt8AAAALAQAADwAAAAAAAAAAAAAAAABtBAAAZHJzL2Rvd25yZXYueG1sUEsFBgAAAAAE&#10;AAQA8wAAAHkFAAAAAA==&#10;" strokecolor="#a39161">
              <v:textbox>
                <w:txbxContent>
                  <w:p w14:paraId="2BA20AC9" w14:textId="77777777" w:rsidR="00FB2A4D" w:rsidRPr="00596C78" w:rsidRDefault="00FB2A4D" w:rsidP="00FB2A4D">
                    <w:pPr>
                      <w:jc w:val="center"/>
                      <w:rPr>
                        <w:sz w:val="52"/>
                        <w:szCs w:val="52"/>
                      </w:rPr>
                    </w:pPr>
                    <w:r>
                      <w:rPr>
                        <w:sz w:val="52"/>
                        <w:szCs w:val="52"/>
                      </w:rPr>
                      <w:t>S</w:t>
                    </w:r>
                    <w:r w:rsidR="005E592B">
                      <w:rPr>
                        <w:sz w:val="52"/>
                        <w:szCs w:val="52"/>
                      </w:rPr>
                      <w:t>OW</w:t>
                    </w:r>
                  </w:p>
                </w:txbxContent>
              </v:textbox>
              <w10:wrap type="square"/>
            </v:shape>
          </w:pict>
        </mc:Fallback>
      </mc:AlternateContent>
    </w:r>
    <w:r>
      <w:rPr>
        <w:noProof/>
      </w:rPr>
      <w:drawing>
        <wp:anchor distT="0" distB="0" distL="114300" distR="114300" simplePos="0" relativeHeight="251659264" behindDoc="0" locked="0" layoutInCell="1" allowOverlap="0" wp14:anchorId="53088E10" wp14:editId="0A3EF0A1">
          <wp:simplePos x="0" y="0"/>
          <wp:positionH relativeFrom="margin">
            <wp:posOffset>-285750</wp:posOffset>
          </wp:positionH>
          <wp:positionV relativeFrom="paragraph">
            <wp:posOffset>-161925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BEB"/>
    <w:multiLevelType w:val="multilevel"/>
    <w:tmpl w:val="87B6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D3764"/>
    <w:multiLevelType w:val="multilevel"/>
    <w:tmpl w:val="72049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46741"/>
    <w:multiLevelType w:val="hybridMultilevel"/>
    <w:tmpl w:val="FCD4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1132D"/>
    <w:multiLevelType w:val="multilevel"/>
    <w:tmpl w:val="D30A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74377"/>
    <w:multiLevelType w:val="hybridMultilevel"/>
    <w:tmpl w:val="DF5E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678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A06864"/>
    <w:multiLevelType w:val="hybridMultilevel"/>
    <w:tmpl w:val="4408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56FAF"/>
    <w:multiLevelType w:val="multilevel"/>
    <w:tmpl w:val="AC2A6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00ADC"/>
    <w:multiLevelType w:val="hybridMultilevel"/>
    <w:tmpl w:val="B068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B5BDA"/>
    <w:multiLevelType w:val="multilevel"/>
    <w:tmpl w:val="13E0E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416A2"/>
    <w:multiLevelType w:val="hybridMultilevel"/>
    <w:tmpl w:val="0870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E7DBF"/>
    <w:multiLevelType w:val="multilevel"/>
    <w:tmpl w:val="67DE2518"/>
    <w:lvl w:ilvl="0">
      <w:start w:val="1"/>
      <w:numFmt w:val="decimal"/>
      <w:pStyle w:val="NewRomanTime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3162418">
    <w:abstractNumId w:val="5"/>
  </w:num>
  <w:num w:numId="2" w16cid:durableId="1123233680">
    <w:abstractNumId w:val="11"/>
  </w:num>
  <w:num w:numId="3" w16cid:durableId="1360663804">
    <w:abstractNumId w:val="4"/>
  </w:num>
  <w:num w:numId="4" w16cid:durableId="1326394576">
    <w:abstractNumId w:val="8"/>
  </w:num>
  <w:num w:numId="5" w16cid:durableId="512956515">
    <w:abstractNumId w:val="6"/>
  </w:num>
  <w:num w:numId="6" w16cid:durableId="394670418">
    <w:abstractNumId w:val="10"/>
  </w:num>
  <w:num w:numId="7" w16cid:durableId="2115125953">
    <w:abstractNumId w:val="2"/>
  </w:num>
  <w:num w:numId="8" w16cid:durableId="1158501135">
    <w:abstractNumId w:val="9"/>
  </w:num>
  <w:num w:numId="9" w16cid:durableId="1764254710">
    <w:abstractNumId w:val="3"/>
  </w:num>
  <w:num w:numId="10" w16cid:durableId="1464955937">
    <w:abstractNumId w:val="0"/>
  </w:num>
  <w:num w:numId="11" w16cid:durableId="1261599802">
    <w:abstractNumId w:val="7"/>
  </w:num>
  <w:num w:numId="12" w16cid:durableId="48647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zNDcwMrY0MTA2MzJV0lEKTi0uzszPAykwrgUAy1wBbSwAAAA="/>
  </w:docVars>
  <w:rsids>
    <w:rsidRoot w:val="003D446D"/>
    <w:rsid w:val="00070234"/>
    <w:rsid w:val="000C600B"/>
    <w:rsid w:val="0011514F"/>
    <w:rsid w:val="0013577C"/>
    <w:rsid w:val="00142CE0"/>
    <w:rsid w:val="0016056A"/>
    <w:rsid w:val="001E3738"/>
    <w:rsid w:val="002046E2"/>
    <w:rsid w:val="00272216"/>
    <w:rsid w:val="002E383D"/>
    <w:rsid w:val="00336427"/>
    <w:rsid w:val="00357779"/>
    <w:rsid w:val="00387E7C"/>
    <w:rsid w:val="003D446D"/>
    <w:rsid w:val="004158C1"/>
    <w:rsid w:val="00445A2C"/>
    <w:rsid w:val="004B0666"/>
    <w:rsid w:val="004C3CF0"/>
    <w:rsid w:val="00507846"/>
    <w:rsid w:val="005145DB"/>
    <w:rsid w:val="00572B72"/>
    <w:rsid w:val="005C4D18"/>
    <w:rsid w:val="005E592B"/>
    <w:rsid w:val="005F58BE"/>
    <w:rsid w:val="006116E6"/>
    <w:rsid w:val="00617290"/>
    <w:rsid w:val="00667485"/>
    <w:rsid w:val="00671265"/>
    <w:rsid w:val="00683583"/>
    <w:rsid w:val="00711024"/>
    <w:rsid w:val="00757B3D"/>
    <w:rsid w:val="007668E7"/>
    <w:rsid w:val="00786FB6"/>
    <w:rsid w:val="0080597D"/>
    <w:rsid w:val="008124EE"/>
    <w:rsid w:val="0093234A"/>
    <w:rsid w:val="00983735"/>
    <w:rsid w:val="009A0893"/>
    <w:rsid w:val="009B4D5B"/>
    <w:rsid w:val="00A14822"/>
    <w:rsid w:val="00A33A14"/>
    <w:rsid w:val="00A51399"/>
    <w:rsid w:val="00A63977"/>
    <w:rsid w:val="00AC7790"/>
    <w:rsid w:val="00B55E3F"/>
    <w:rsid w:val="00B9446B"/>
    <w:rsid w:val="00BA22BB"/>
    <w:rsid w:val="00BA55B5"/>
    <w:rsid w:val="00C41CA3"/>
    <w:rsid w:val="00C472F7"/>
    <w:rsid w:val="00C84FEB"/>
    <w:rsid w:val="00CB5B21"/>
    <w:rsid w:val="00CE55B9"/>
    <w:rsid w:val="00D16AC3"/>
    <w:rsid w:val="00DF1281"/>
    <w:rsid w:val="00E455AB"/>
    <w:rsid w:val="00EB3A89"/>
    <w:rsid w:val="00EC6A12"/>
    <w:rsid w:val="00F8745A"/>
    <w:rsid w:val="00FB2A4D"/>
    <w:rsid w:val="00FE3740"/>
    <w:rsid w:val="00FF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E91EE"/>
  <w15:chartTrackingRefBased/>
  <w15:docId w15:val="{7328F423-496C-48D8-8CA5-51DB1BCC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822"/>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148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4822"/>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A4D"/>
  </w:style>
  <w:style w:type="paragraph" w:styleId="Footer">
    <w:name w:val="footer"/>
    <w:basedOn w:val="Normal"/>
    <w:link w:val="FooterChar"/>
    <w:uiPriority w:val="99"/>
    <w:unhideWhenUsed/>
    <w:rsid w:val="00FB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A4D"/>
  </w:style>
  <w:style w:type="paragraph" w:styleId="ListParagraph">
    <w:name w:val="List Paragraph"/>
    <w:basedOn w:val="Normal"/>
    <w:uiPriority w:val="34"/>
    <w:qFormat/>
    <w:rsid w:val="00FB2A4D"/>
    <w:pPr>
      <w:ind w:left="720"/>
      <w:contextualSpacing/>
    </w:pPr>
  </w:style>
  <w:style w:type="character" w:customStyle="1" w:styleId="Heading1Char">
    <w:name w:val="Heading 1 Char"/>
    <w:basedOn w:val="DefaultParagraphFont"/>
    <w:link w:val="Heading1"/>
    <w:uiPriority w:val="9"/>
    <w:rsid w:val="00A14822"/>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FB2A4D"/>
    <w:pPr>
      <w:outlineLvl w:val="9"/>
    </w:pPr>
    <w:rPr>
      <w:kern w:val="0"/>
      <w14:ligatures w14:val="none"/>
    </w:rPr>
  </w:style>
  <w:style w:type="paragraph" w:styleId="TOC1">
    <w:name w:val="toc 1"/>
    <w:basedOn w:val="Normal"/>
    <w:next w:val="Normal"/>
    <w:autoRedefine/>
    <w:uiPriority w:val="39"/>
    <w:unhideWhenUsed/>
    <w:rsid w:val="00FB2A4D"/>
    <w:pPr>
      <w:spacing w:after="100"/>
    </w:pPr>
  </w:style>
  <w:style w:type="character" w:styleId="Hyperlink">
    <w:name w:val="Hyperlink"/>
    <w:basedOn w:val="DefaultParagraphFont"/>
    <w:uiPriority w:val="99"/>
    <w:unhideWhenUsed/>
    <w:rsid w:val="00FB2A4D"/>
    <w:rPr>
      <w:color w:val="0563C1" w:themeColor="hyperlink"/>
      <w:u w:val="single"/>
    </w:rPr>
  </w:style>
  <w:style w:type="character" w:styleId="PlaceholderText">
    <w:name w:val="Placeholder Text"/>
    <w:basedOn w:val="DefaultParagraphFont"/>
    <w:uiPriority w:val="99"/>
    <w:semiHidden/>
    <w:rsid w:val="00FB2A4D"/>
    <w:rPr>
      <w:color w:val="808080"/>
    </w:rPr>
  </w:style>
  <w:style w:type="paragraph" w:customStyle="1" w:styleId="NewRomanTimes">
    <w:name w:val="New Roman Times"/>
    <w:basedOn w:val="Heading3"/>
    <w:link w:val="NewRomanTimesChar"/>
    <w:rsid w:val="00DF1281"/>
    <w:pPr>
      <w:numPr>
        <w:numId w:val="2"/>
      </w:numPr>
    </w:pPr>
    <w:rPr>
      <w:rFonts w:cs="Times New Roman"/>
      <w:b w:val="0"/>
      <w:bCs/>
    </w:rPr>
  </w:style>
  <w:style w:type="character" w:customStyle="1" w:styleId="Heading3Char">
    <w:name w:val="Heading 3 Char"/>
    <w:basedOn w:val="DefaultParagraphFont"/>
    <w:link w:val="Heading3"/>
    <w:uiPriority w:val="9"/>
    <w:rsid w:val="00A14822"/>
    <w:rPr>
      <w:rFonts w:ascii="Times New Roman" w:eastAsiaTheme="majorEastAsia" w:hAnsi="Times New Roman" w:cstheme="majorBidi"/>
      <w:b/>
      <w:sz w:val="24"/>
      <w:szCs w:val="24"/>
    </w:rPr>
  </w:style>
  <w:style w:type="character" w:customStyle="1" w:styleId="NewRomanTimesChar">
    <w:name w:val="New Roman Times Char"/>
    <w:basedOn w:val="Heading3Char"/>
    <w:link w:val="NewRomanTimes"/>
    <w:rsid w:val="00DF1281"/>
    <w:rPr>
      <w:rFonts w:ascii="Times New Roman" w:eastAsiaTheme="majorEastAsia" w:hAnsi="Times New Roman" w:cs="Times New Roman"/>
      <w:b w:val="0"/>
      <w:bCs/>
      <w:color w:val="1F3763" w:themeColor="accent1" w:themeShade="7F"/>
      <w:sz w:val="24"/>
      <w:szCs w:val="24"/>
    </w:rPr>
  </w:style>
  <w:style w:type="paragraph" w:styleId="TOC3">
    <w:name w:val="toc 3"/>
    <w:basedOn w:val="Normal"/>
    <w:next w:val="Normal"/>
    <w:autoRedefine/>
    <w:uiPriority w:val="39"/>
    <w:unhideWhenUsed/>
    <w:rsid w:val="00CE55B9"/>
    <w:pPr>
      <w:spacing w:after="100"/>
      <w:ind w:left="440"/>
    </w:pPr>
  </w:style>
  <w:style w:type="paragraph" w:customStyle="1" w:styleId="NewTimesRomanHeader3">
    <w:name w:val="New Times Roman Header 3"/>
    <w:basedOn w:val="NewRomanTimes"/>
    <w:next w:val="Heading3"/>
    <w:link w:val="NewTimesRomanHeader3Char"/>
    <w:qFormat/>
    <w:rsid w:val="00983735"/>
    <w:pPr>
      <w:numPr>
        <w:numId w:val="0"/>
      </w:numPr>
    </w:pPr>
  </w:style>
  <w:style w:type="character" w:customStyle="1" w:styleId="NewTimesRomanHeader3Char">
    <w:name w:val="New Times Roman Header 3 Char"/>
    <w:basedOn w:val="NewRomanTimesChar"/>
    <w:link w:val="NewTimesRomanHeader3"/>
    <w:rsid w:val="00983735"/>
    <w:rPr>
      <w:rFonts w:ascii="Times New Roman" w:eastAsiaTheme="majorEastAsia" w:hAnsi="Times New Roman" w:cs="Times New Roman"/>
      <w:b w:val="0"/>
      <w:bCs/>
      <w:color w:val="1F3763" w:themeColor="accent1" w:themeShade="7F"/>
      <w:sz w:val="24"/>
      <w:szCs w:val="24"/>
    </w:rPr>
  </w:style>
  <w:style w:type="character" w:customStyle="1" w:styleId="Heading2Char">
    <w:name w:val="Heading 2 Char"/>
    <w:basedOn w:val="DefaultParagraphFont"/>
    <w:link w:val="Heading2"/>
    <w:uiPriority w:val="9"/>
    <w:rsid w:val="00A148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3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parnell\Downloads\CNE%20Statement%20of%20Work%20Template%202024%20(07-17-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126AF403DC415292765B1922F12EAB"/>
        <w:category>
          <w:name w:val="General"/>
          <w:gallery w:val="placeholder"/>
        </w:category>
        <w:types>
          <w:type w:val="bbPlcHdr"/>
        </w:types>
        <w:behaviors>
          <w:behavior w:val="content"/>
        </w:behaviors>
        <w:guid w:val="{F8A9974F-3AA1-4BE4-A13D-9351EBCAF030}"/>
      </w:docPartPr>
      <w:docPartBody>
        <w:p w:rsidR="00A20104" w:rsidRDefault="00A20104">
          <w:pPr>
            <w:pStyle w:val="FE126AF403DC415292765B1922F12EAB"/>
          </w:pPr>
          <w:r w:rsidRPr="00CA23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C4"/>
    <w:rsid w:val="000C600B"/>
    <w:rsid w:val="00445A2C"/>
    <w:rsid w:val="005B6454"/>
    <w:rsid w:val="00683583"/>
    <w:rsid w:val="007840C4"/>
    <w:rsid w:val="00A2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454"/>
    <w:rPr>
      <w:color w:val="808080"/>
    </w:rPr>
  </w:style>
  <w:style w:type="paragraph" w:customStyle="1" w:styleId="FE126AF403DC415292765B1922F12EAB">
    <w:name w:val="FE126AF403DC415292765B1922F12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FE79-FAD5-4259-8096-5E3A41992B8A}">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2.xml><?xml version="1.0" encoding="utf-8"?>
<ds:datastoreItem xmlns:ds="http://schemas.openxmlformats.org/officeDocument/2006/customXml" ds:itemID="{3418E2E0-6AC4-4B0C-A07C-EF9AFF38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2F80A-8A59-4960-8BCD-F5CE8409A163}">
  <ds:schemaRefs>
    <ds:schemaRef ds:uri="http://schemas.microsoft.com/sharepoint/v3/contenttype/forms"/>
  </ds:schemaRefs>
</ds:datastoreItem>
</file>

<file path=customXml/itemProps4.xml><?xml version="1.0" encoding="utf-8"?>
<ds:datastoreItem xmlns:ds="http://schemas.openxmlformats.org/officeDocument/2006/customXml" ds:itemID="{C6E21A4B-3F8F-43A6-BD40-3F9C0A2B05B5}">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Statement of Work Template 2024 (07-17-2024)</Template>
  <TotalTime>46</TotalTime>
  <Pages>8</Pages>
  <Words>1287</Words>
  <Characters>8128</Characters>
  <Application>Microsoft Office Word</Application>
  <DocSecurity>0</DocSecurity>
  <Lines>67</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Parnell</dc:creator>
  <cp:keywords/>
  <dc:description/>
  <cp:lastModifiedBy>James Parnell</cp:lastModifiedBy>
  <cp:revision>25</cp:revision>
  <dcterms:created xsi:type="dcterms:W3CDTF">2026-04-15T19:55:00Z</dcterms:created>
  <dcterms:modified xsi:type="dcterms:W3CDTF">2026-05-22T14:47:00Z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6fe6f0bd-1a1a-4cdb-8e1a-551eef41a01a</vt:lpwstr>
  </property>
  <property fmtid="{D5CDD505-2E9C-101B-9397-08002B2CF9AE}" pid="3" name="ContentTypeId">
    <vt:lpwstr>0x010100364EA5F907C63B42848E23ACFDA64F5D</vt:lpwstr>
  </property>
</Properties>
</file>